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B2D14" w14:textId="77777777" w:rsidR="00AA62F1" w:rsidRPr="00F23881" w:rsidRDefault="00AA62F1" w:rsidP="00AA62F1">
      <w:pPr>
        <w:contextualSpacing/>
        <w:jc w:val="center"/>
        <w:rPr>
          <w:b/>
          <w:bCs/>
          <w:sz w:val="22"/>
          <w:lang w:eastAsia="zh-CN"/>
        </w:rPr>
      </w:pPr>
      <w:bookmarkStart w:id="0" w:name="_Hlk154060018"/>
      <w:r w:rsidRPr="00F23881">
        <w:rPr>
          <w:b/>
          <w:bCs/>
          <w:sz w:val="22"/>
          <w:lang w:eastAsia="zh-CN"/>
        </w:rPr>
        <w:t>DISTRICT OF COLUMBIA</w:t>
      </w:r>
    </w:p>
    <w:p w14:paraId="02ED2CA4" w14:textId="77777777" w:rsidR="00AA62F1" w:rsidRPr="00F23881" w:rsidRDefault="00AA62F1" w:rsidP="00AA62F1">
      <w:pPr>
        <w:contextualSpacing/>
        <w:jc w:val="center"/>
        <w:rPr>
          <w:rFonts w:ascii="Aptos" w:hAnsi="Aptos" w:cs="Aptos"/>
          <w:b/>
          <w:bCs/>
          <w:sz w:val="22"/>
          <w:lang w:eastAsia="zh-CN"/>
        </w:rPr>
      </w:pPr>
      <w:r w:rsidRPr="00F23881">
        <w:rPr>
          <w:b/>
          <w:bCs/>
          <w:sz w:val="22"/>
          <w:lang w:eastAsia="zh-CN"/>
        </w:rPr>
        <w:t>OFFICE OF EMPLOYEE APPEALS</w:t>
      </w:r>
    </w:p>
    <w:p w14:paraId="5FD630EB" w14:textId="77777777" w:rsidR="00AA62F1" w:rsidRPr="00F23881" w:rsidRDefault="00AA62F1" w:rsidP="00AA62F1">
      <w:pPr>
        <w:contextualSpacing/>
        <w:jc w:val="center"/>
        <w:rPr>
          <w:b/>
          <w:bCs/>
          <w:sz w:val="22"/>
          <w:lang w:eastAsia="zh-CN"/>
        </w:rPr>
      </w:pPr>
    </w:p>
    <w:p w14:paraId="371FA10F" w14:textId="77777777" w:rsidR="00AA62F1" w:rsidRPr="00F23881" w:rsidRDefault="00AA62F1" w:rsidP="00AA62F1">
      <w:pPr>
        <w:contextualSpacing/>
        <w:jc w:val="center"/>
        <w:rPr>
          <w:b/>
          <w:bCs/>
          <w:sz w:val="22"/>
          <w:lang w:eastAsia="zh-CN"/>
        </w:rPr>
      </w:pPr>
      <w:r w:rsidRPr="00F23881">
        <w:rPr>
          <w:b/>
          <w:bCs/>
          <w:sz w:val="22"/>
          <w:lang w:eastAsia="zh-CN"/>
        </w:rPr>
        <w:t>NOTICE OF PUBLIC MEETING</w:t>
      </w:r>
    </w:p>
    <w:p w14:paraId="53728654" w14:textId="77777777" w:rsidR="00AA62F1" w:rsidRPr="00F23881" w:rsidRDefault="00AA62F1" w:rsidP="00AA62F1">
      <w:pPr>
        <w:contextualSpacing/>
        <w:rPr>
          <w:b/>
          <w:bCs/>
          <w:sz w:val="22"/>
          <w:lang w:eastAsia="zh-CN"/>
        </w:rPr>
      </w:pPr>
    </w:p>
    <w:bookmarkEnd w:id="0"/>
    <w:p w14:paraId="6B982219" w14:textId="23FE2B8B" w:rsidR="00AA62F1" w:rsidRPr="00F23881" w:rsidRDefault="00AA62F1" w:rsidP="00F23881">
      <w:pPr>
        <w:contextualSpacing/>
        <w:jc w:val="both"/>
        <w:rPr>
          <w:sz w:val="22"/>
        </w:rPr>
      </w:pPr>
      <w:r w:rsidRPr="00F23881">
        <w:rPr>
          <w:sz w:val="22"/>
        </w:rPr>
        <w:t xml:space="preserve">The District of Columbia Office of Employee Appeals will hold a meeting on </w:t>
      </w:r>
      <w:r w:rsidR="00222BAB" w:rsidRPr="00F23881">
        <w:rPr>
          <w:sz w:val="22"/>
        </w:rPr>
        <w:t>November 6</w:t>
      </w:r>
      <w:r w:rsidRPr="00F23881">
        <w:rPr>
          <w:sz w:val="22"/>
        </w:rPr>
        <w:t xml:space="preserve">, </w:t>
      </w:r>
      <w:r w:rsidR="005B013A">
        <w:rPr>
          <w:sz w:val="22"/>
        </w:rPr>
        <w:t xml:space="preserve">2025, </w:t>
      </w:r>
      <w:r w:rsidRPr="00F23881">
        <w:rPr>
          <w:sz w:val="22"/>
        </w:rPr>
        <w:t>at 9:30 a.m. The Board will meet remotely. Below is the agenda for the meeting.</w:t>
      </w:r>
    </w:p>
    <w:p w14:paraId="46611444" w14:textId="77777777" w:rsidR="00AA62F1" w:rsidRPr="00F23881" w:rsidRDefault="00AA62F1" w:rsidP="00F23881">
      <w:pPr>
        <w:contextualSpacing/>
        <w:jc w:val="both"/>
        <w:rPr>
          <w:sz w:val="12"/>
          <w:szCs w:val="12"/>
        </w:rPr>
      </w:pPr>
    </w:p>
    <w:p w14:paraId="15533FDC" w14:textId="77777777" w:rsidR="00AA62F1" w:rsidRPr="00F23881" w:rsidRDefault="00AA62F1" w:rsidP="00F23881">
      <w:pPr>
        <w:contextualSpacing/>
        <w:jc w:val="both"/>
        <w:rPr>
          <w:sz w:val="22"/>
        </w:rPr>
      </w:pPr>
      <w:r w:rsidRPr="00F23881">
        <w:rPr>
          <w:sz w:val="22"/>
        </w:rPr>
        <w:t xml:space="preserve">Members of the public are welcome to observe the meeting. In order to attend the meeting, please visit: </w:t>
      </w:r>
    </w:p>
    <w:p w14:paraId="35C59584" w14:textId="77777777" w:rsidR="00AA62F1" w:rsidRPr="00F23881" w:rsidRDefault="00AA62F1" w:rsidP="00F23881">
      <w:pPr>
        <w:contextualSpacing/>
        <w:jc w:val="both"/>
        <w:rPr>
          <w:sz w:val="12"/>
          <w:szCs w:val="12"/>
        </w:rPr>
      </w:pPr>
    </w:p>
    <w:p w14:paraId="7805C470" w14:textId="77777777" w:rsidR="00AA62F1" w:rsidRPr="00F23881" w:rsidRDefault="00AA62F1" w:rsidP="00F23881">
      <w:pPr>
        <w:contextualSpacing/>
        <w:jc w:val="both"/>
        <w:rPr>
          <w:sz w:val="22"/>
        </w:rPr>
      </w:pPr>
      <w:r w:rsidRPr="00F23881">
        <w:rPr>
          <w:sz w:val="22"/>
        </w:rPr>
        <w:t>Password: Board (26274 from phones and video systems)</w:t>
      </w:r>
    </w:p>
    <w:p w14:paraId="104DF493" w14:textId="77777777" w:rsidR="00AA62F1" w:rsidRPr="004D6A18" w:rsidRDefault="00AA62F1" w:rsidP="00F23881">
      <w:pPr>
        <w:contextualSpacing/>
        <w:jc w:val="both"/>
        <w:rPr>
          <w:sz w:val="22"/>
          <w:szCs w:val="22"/>
        </w:rPr>
      </w:pPr>
    </w:p>
    <w:p w14:paraId="1ED81E02" w14:textId="77777777" w:rsidR="00F23881" w:rsidRPr="00F23881" w:rsidRDefault="00F23881" w:rsidP="00F23881">
      <w:pPr>
        <w:contextualSpacing/>
        <w:jc w:val="both"/>
        <w:rPr>
          <w:sz w:val="22"/>
          <w:szCs w:val="22"/>
        </w:rPr>
      </w:pPr>
      <w:hyperlink r:id="rId10" w:history="1">
        <w:r w:rsidRPr="00F23881">
          <w:rPr>
            <w:rStyle w:val="Hyperlink"/>
            <w:sz w:val="22"/>
            <w:szCs w:val="22"/>
          </w:rPr>
          <w:t>https://dcnet.webex.com/dcnet/j.php?MTID=m86cc3d5d1c618b18dcd6b05c9d219f6e</w:t>
        </w:r>
      </w:hyperlink>
    </w:p>
    <w:p w14:paraId="08588608" w14:textId="77777777" w:rsidR="00AA62F1" w:rsidRPr="00F23881" w:rsidRDefault="00AA62F1" w:rsidP="00F23881">
      <w:pPr>
        <w:contextualSpacing/>
        <w:jc w:val="both"/>
        <w:rPr>
          <w:sz w:val="12"/>
          <w:szCs w:val="12"/>
        </w:rPr>
      </w:pPr>
    </w:p>
    <w:p w14:paraId="471A858C" w14:textId="77777777" w:rsidR="00AA62F1" w:rsidRPr="00F23881" w:rsidRDefault="00AA62F1" w:rsidP="00F23881">
      <w:pPr>
        <w:contextualSpacing/>
        <w:jc w:val="both"/>
        <w:rPr>
          <w:sz w:val="22"/>
        </w:rPr>
      </w:pPr>
      <w:r w:rsidRPr="00F23881">
        <w:rPr>
          <w:sz w:val="22"/>
        </w:rPr>
        <w:t>We recommend logging in ten (10) minutes before the meeting starts. In order to access Webex, laptop or desktop computer users must use Google Chrome, Firefox, or Microsoft Edge Browsers.</w:t>
      </w:r>
    </w:p>
    <w:p w14:paraId="5F821EE1" w14:textId="77777777" w:rsidR="00AA62F1" w:rsidRPr="00F23881" w:rsidRDefault="00AA62F1" w:rsidP="00F23881">
      <w:pPr>
        <w:contextualSpacing/>
        <w:jc w:val="both"/>
        <w:rPr>
          <w:sz w:val="12"/>
          <w:szCs w:val="12"/>
        </w:rPr>
      </w:pPr>
    </w:p>
    <w:p w14:paraId="1DE78178" w14:textId="77777777" w:rsidR="00AA62F1" w:rsidRPr="00F23881" w:rsidRDefault="00AA62F1" w:rsidP="00F23881">
      <w:pPr>
        <w:contextualSpacing/>
        <w:jc w:val="both"/>
        <w:rPr>
          <w:sz w:val="22"/>
        </w:rPr>
      </w:pPr>
      <w:r w:rsidRPr="00F23881">
        <w:rPr>
          <w:sz w:val="22"/>
        </w:rPr>
        <w:t xml:space="preserve">Smartphone/Tablets or iPad user must first go to the App Store, download the Webex App (Cisco Webex Meetings), enter the Access Code, and enter your name, email address, and click Join. It is recommended that a laptop or desktop computer be utilized for this platform.  </w:t>
      </w:r>
    </w:p>
    <w:p w14:paraId="555EA95E" w14:textId="77777777" w:rsidR="00AA62F1" w:rsidRPr="00F23881" w:rsidRDefault="00AA62F1" w:rsidP="00F23881">
      <w:pPr>
        <w:contextualSpacing/>
        <w:jc w:val="both"/>
        <w:rPr>
          <w:sz w:val="12"/>
          <w:szCs w:val="12"/>
        </w:rPr>
      </w:pPr>
    </w:p>
    <w:p w14:paraId="2B944DA5" w14:textId="77777777" w:rsidR="00AA62F1" w:rsidRPr="00F23881" w:rsidRDefault="00AA62F1" w:rsidP="00F23881">
      <w:pPr>
        <w:contextualSpacing/>
        <w:jc w:val="both"/>
        <w:rPr>
          <w:sz w:val="22"/>
        </w:rPr>
      </w:pPr>
      <w:r w:rsidRPr="00F23881">
        <w:rPr>
          <w:sz w:val="22"/>
        </w:rPr>
        <w:t xml:space="preserve">Your computer, tablet, or smartphone’s built-in speaker and microphone will be used in the virtual meeting unless you use a headset.  Headsets provide better sound quality and privacy.  </w:t>
      </w:r>
    </w:p>
    <w:p w14:paraId="73738C41" w14:textId="77777777" w:rsidR="00AA62F1" w:rsidRPr="00F23881" w:rsidRDefault="00AA62F1" w:rsidP="00F23881">
      <w:pPr>
        <w:contextualSpacing/>
        <w:jc w:val="both"/>
        <w:rPr>
          <w:sz w:val="12"/>
          <w:szCs w:val="12"/>
        </w:rPr>
      </w:pPr>
    </w:p>
    <w:p w14:paraId="32D8873C" w14:textId="77777777" w:rsidR="00AA62F1" w:rsidRPr="00F23881" w:rsidRDefault="00AA62F1" w:rsidP="00F23881">
      <w:pPr>
        <w:contextualSpacing/>
        <w:jc w:val="both"/>
        <w:rPr>
          <w:b/>
          <w:bCs/>
          <w:sz w:val="22"/>
        </w:rPr>
      </w:pPr>
      <w:r w:rsidRPr="00F23881">
        <w:rPr>
          <w:sz w:val="22"/>
        </w:rPr>
        <w:t>If you do not have access to the internet, please call-in toll number (US/Canada) 1-650-479-3208, Access Code: 2307 176 0106</w:t>
      </w:r>
    </w:p>
    <w:p w14:paraId="37C8D8BF" w14:textId="77777777" w:rsidR="00AA62F1" w:rsidRPr="00F23881" w:rsidRDefault="00AA62F1" w:rsidP="00F23881">
      <w:pPr>
        <w:contextualSpacing/>
        <w:jc w:val="both"/>
        <w:rPr>
          <w:sz w:val="12"/>
          <w:szCs w:val="12"/>
        </w:rPr>
      </w:pPr>
    </w:p>
    <w:p w14:paraId="2F2FE9F6" w14:textId="77777777" w:rsidR="00AA62F1" w:rsidRPr="00B83542" w:rsidRDefault="00AA62F1" w:rsidP="00F23881">
      <w:pPr>
        <w:contextualSpacing/>
        <w:jc w:val="both"/>
        <w:rPr>
          <w:sz w:val="22"/>
        </w:rPr>
      </w:pPr>
      <w:r w:rsidRPr="00F23881">
        <w:rPr>
          <w:sz w:val="22"/>
        </w:rPr>
        <w:t xml:space="preserve">Questions about the meeting may be directed to </w:t>
      </w:r>
      <w:hyperlink r:id="rId11" w:history="1">
        <w:r w:rsidRPr="00F23881">
          <w:rPr>
            <w:rStyle w:val="Hyperlink"/>
            <w:color w:val="auto"/>
            <w:sz w:val="22"/>
          </w:rPr>
          <w:t>wynter.clarke@dc.gov</w:t>
        </w:r>
      </w:hyperlink>
      <w:r w:rsidRPr="00F23881">
        <w:rPr>
          <w:sz w:val="22"/>
        </w:rPr>
        <w:t>.</w:t>
      </w:r>
    </w:p>
    <w:p w14:paraId="5C2F3C49" w14:textId="77777777" w:rsidR="00AA62F1" w:rsidRPr="00B71DF0" w:rsidRDefault="00AA62F1" w:rsidP="00AA62F1">
      <w:pPr>
        <w:contextualSpacing/>
        <w:jc w:val="center"/>
        <w:rPr>
          <w:rFonts w:eastAsia="SimSun"/>
          <w:b/>
          <w:sz w:val="22"/>
          <w:lang w:eastAsia="zh-CN"/>
        </w:rPr>
      </w:pPr>
    </w:p>
    <w:p w14:paraId="1B28A605" w14:textId="77777777" w:rsidR="00AA62F1" w:rsidRPr="00B71DF0" w:rsidRDefault="00AA62F1" w:rsidP="00AA62F1">
      <w:pPr>
        <w:contextualSpacing/>
        <w:jc w:val="center"/>
        <w:rPr>
          <w:rFonts w:eastAsia="SimSun"/>
          <w:b/>
          <w:sz w:val="22"/>
          <w:lang w:eastAsia="zh-CN"/>
        </w:rPr>
      </w:pPr>
      <w:r w:rsidRPr="00B71DF0">
        <w:rPr>
          <w:rFonts w:eastAsia="SimSun"/>
          <w:b/>
          <w:sz w:val="22"/>
          <w:lang w:eastAsia="zh-CN"/>
        </w:rPr>
        <w:t>Agenda</w:t>
      </w:r>
    </w:p>
    <w:p w14:paraId="0175DE12" w14:textId="77777777" w:rsidR="00AA62F1" w:rsidRPr="00B71DF0" w:rsidRDefault="00AA62F1" w:rsidP="00AA62F1">
      <w:pPr>
        <w:contextualSpacing/>
        <w:jc w:val="center"/>
        <w:rPr>
          <w:rFonts w:eastAsia="SimSun"/>
          <w:sz w:val="22"/>
          <w:lang w:eastAsia="zh-CN"/>
        </w:rPr>
      </w:pPr>
      <w:r w:rsidRPr="00B71DF0">
        <w:rPr>
          <w:rFonts w:eastAsia="SimSun"/>
          <w:sz w:val="22"/>
          <w:lang w:eastAsia="zh-CN"/>
        </w:rPr>
        <w:t>D.C. OFFICE OF EMPLOYEE APPEALS (“OEA”) BOARD MEETING</w:t>
      </w:r>
    </w:p>
    <w:p w14:paraId="21D4FA42" w14:textId="34F94A51" w:rsidR="00AA62F1" w:rsidRPr="00B71DF0" w:rsidRDefault="00AA62F1" w:rsidP="00AA62F1">
      <w:pPr>
        <w:contextualSpacing/>
        <w:jc w:val="center"/>
        <w:rPr>
          <w:rFonts w:eastAsia="SimSun"/>
          <w:sz w:val="22"/>
          <w:lang w:eastAsia="zh-CN"/>
        </w:rPr>
      </w:pPr>
      <w:r w:rsidRPr="00B71DF0">
        <w:rPr>
          <w:rFonts w:eastAsia="SimSun"/>
          <w:sz w:val="22"/>
          <w:lang w:eastAsia="zh-CN"/>
        </w:rPr>
        <w:t xml:space="preserve">Thursday, </w:t>
      </w:r>
      <w:r w:rsidR="003F261F">
        <w:rPr>
          <w:rFonts w:eastAsia="SimSun"/>
          <w:sz w:val="22"/>
          <w:lang w:eastAsia="zh-CN"/>
        </w:rPr>
        <w:t>November 6</w:t>
      </w:r>
      <w:r>
        <w:rPr>
          <w:rFonts w:eastAsia="SimSun"/>
          <w:sz w:val="22"/>
          <w:lang w:eastAsia="zh-CN"/>
        </w:rPr>
        <w:t>, 202</w:t>
      </w:r>
      <w:r w:rsidR="005B013A">
        <w:rPr>
          <w:rFonts w:eastAsia="SimSun"/>
          <w:sz w:val="22"/>
          <w:lang w:eastAsia="zh-CN"/>
        </w:rPr>
        <w:t>5</w:t>
      </w:r>
      <w:r w:rsidRPr="00B71DF0">
        <w:rPr>
          <w:rFonts w:eastAsia="SimSun"/>
          <w:sz w:val="22"/>
          <w:lang w:eastAsia="zh-CN"/>
        </w:rPr>
        <w:t>, at 9:</w:t>
      </w:r>
      <w:r>
        <w:rPr>
          <w:rFonts w:eastAsia="SimSun"/>
          <w:sz w:val="22"/>
          <w:lang w:eastAsia="zh-CN"/>
        </w:rPr>
        <w:t>3</w:t>
      </w:r>
      <w:r w:rsidRPr="00B71DF0">
        <w:rPr>
          <w:rFonts w:eastAsia="SimSun"/>
          <w:sz w:val="22"/>
          <w:lang w:eastAsia="zh-CN"/>
        </w:rPr>
        <w:t>0 a.m.</w:t>
      </w:r>
    </w:p>
    <w:p w14:paraId="029185C8" w14:textId="77777777" w:rsidR="00AA62F1" w:rsidRPr="00B71DF0" w:rsidRDefault="00AA62F1" w:rsidP="00AA62F1">
      <w:pPr>
        <w:contextualSpacing/>
        <w:jc w:val="center"/>
        <w:rPr>
          <w:rFonts w:eastAsia="SimSun"/>
          <w:sz w:val="22"/>
          <w:lang w:eastAsia="zh-CN"/>
        </w:rPr>
      </w:pPr>
      <w:r w:rsidRPr="00B71DF0">
        <w:rPr>
          <w:rFonts w:eastAsia="SimSun"/>
          <w:sz w:val="22"/>
          <w:lang w:eastAsia="zh-CN"/>
        </w:rPr>
        <w:t>Location: Virtual Meeting via Webex</w:t>
      </w:r>
    </w:p>
    <w:p w14:paraId="23C5F36E" w14:textId="77777777" w:rsidR="00AA62F1" w:rsidRPr="003B5B18" w:rsidRDefault="00AA62F1" w:rsidP="00AA62F1">
      <w:pPr>
        <w:contextualSpacing/>
        <w:jc w:val="center"/>
        <w:rPr>
          <w:rFonts w:eastAsia="SimSun"/>
          <w:sz w:val="12"/>
          <w:szCs w:val="12"/>
          <w:lang w:eastAsia="zh-CN"/>
        </w:rPr>
      </w:pPr>
    </w:p>
    <w:p w14:paraId="7C1893C5" w14:textId="77777777" w:rsidR="00AA62F1" w:rsidRPr="00B71DF0" w:rsidRDefault="00AA62F1" w:rsidP="00AA62F1">
      <w:pPr>
        <w:widowControl/>
        <w:numPr>
          <w:ilvl w:val="0"/>
          <w:numId w:val="1"/>
        </w:numPr>
        <w:tabs>
          <w:tab w:val="num" w:pos="450"/>
        </w:tabs>
        <w:ind w:hanging="1080"/>
        <w:contextualSpacing/>
        <w:jc w:val="both"/>
        <w:rPr>
          <w:rFonts w:eastAsia="SimSun"/>
          <w:sz w:val="22"/>
          <w:lang w:eastAsia="zh-CN"/>
        </w:rPr>
      </w:pPr>
      <w:r w:rsidRPr="00B71DF0">
        <w:rPr>
          <w:rFonts w:eastAsia="SimSun"/>
          <w:b/>
          <w:sz w:val="22"/>
          <w:lang w:eastAsia="zh-CN"/>
        </w:rPr>
        <w:t xml:space="preserve">Call to Order </w:t>
      </w:r>
    </w:p>
    <w:p w14:paraId="55E9ECBB" w14:textId="77777777" w:rsidR="00AA62F1" w:rsidRPr="00A012BA" w:rsidRDefault="00AA62F1" w:rsidP="00AA62F1">
      <w:pPr>
        <w:ind w:left="1080"/>
        <w:contextualSpacing/>
        <w:rPr>
          <w:rFonts w:eastAsia="SimSun"/>
          <w:sz w:val="12"/>
          <w:szCs w:val="12"/>
          <w:lang w:eastAsia="zh-CN"/>
        </w:rPr>
      </w:pPr>
    </w:p>
    <w:p w14:paraId="0A2BA36B" w14:textId="77777777" w:rsidR="00AA62F1" w:rsidRPr="00B71DF0" w:rsidRDefault="00AA62F1" w:rsidP="00AA62F1">
      <w:pPr>
        <w:widowControl/>
        <w:numPr>
          <w:ilvl w:val="0"/>
          <w:numId w:val="1"/>
        </w:numPr>
        <w:tabs>
          <w:tab w:val="num" w:pos="450"/>
          <w:tab w:val="num" w:pos="720"/>
          <w:tab w:val="left" w:pos="900"/>
        </w:tabs>
        <w:ind w:hanging="1080"/>
        <w:contextualSpacing/>
        <w:jc w:val="both"/>
        <w:rPr>
          <w:rFonts w:eastAsia="SimSun"/>
          <w:sz w:val="22"/>
          <w:lang w:eastAsia="zh-CN"/>
        </w:rPr>
      </w:pPr>
      <w:r w:rsidRPr="00B71DF0">
        <w:rPr>
          <w:rFonts w:eastAsia="SimSun"/>
          <w:b/>
          <w:sz w:val="22"/>
          <w:lang w:eastAsia="zh-CN"/>
        </w:rPr>
        <w:t>Ascertainment of Quorum</w:t>
      </w:r>
    </w:p>
    <w:p w14:paraId="4728FF69" w14:textId="77777777" w:rsidR="00AA62F1" w:rsidRPr="00A012BA" w:rsidRDefault="00AA62F1" w:rsidP="00AA62F1">
      <w:pPr>
        <w:ind w:left="720"/>
        <w:contextualSpacing/>
        <w:rPr>
          <w:rFonts w:eastAsia="SimSun"/>
          <w:sz w:val="12"/>
          <w:szCs w:val="12"/>
          <w:lang w:eastAsia="zh-CN"/>
        </w:rPr>
      </w:pPr>
    </w:p>
    <w:p w14:paraId="0ADB3A30" w14:textId="77777777" w:rsidR="00AA62F1" w:rsidRPr="00B71DF0" w:rsidRDefault="00AA62F1" w:rsidP="00AA62F1">
      <w:pPr>
        <w:widowControl/>
        <w:numPr>
          <w:ilvl w:val="0"/>
          <w:numId w:val="1"/>
        </w:numPr>
        <w:tabs>
          <w:tab w:val="num" w:pos="450"/>
        </w:tabs>
        <w:ind w:hanging="1080"/>
        <w:contextualSpacing/>
        <w:jc w:val="both"/>
        <w:rPr>
          <w:rFonts w:eastAsia="SimSun"/>
          <w:b/>
          <w:sz w:val="22"/>
          <w:lang w:eastAsia="zh-CN"/>
        </w:rPr>
      </w:pPr>
      <w:r w:rsidRPr="00B71DF0">
        <w:rPr>
          <w:rFonts w:eastAsia="SimSun"/>
          <w:b/>
          <w:sz w:val="22"/>
          <w:lang w:eastAsia="zh-CN"/>
        </w:rPr>
        <w:t>Adoption of Agenda</w:t>
      </w:r>
    </w:p>
    <w:p w14:paraId="1753EB27" w14:textId="77777777" w:rsidR="00AA62F1" w:rsidRPr="00A012BA" w:rsidRDefault="00AA62F1" w:rsidP="00AA62F1">
      <w:pPr>
        <w:ind w:left="1080"/>
        <w:contextualSpacing/>
        <w:rPr>
          <w:rFonts w:eastAsia="SimSun"/>
          <w:sz w:val="12"/>
          <w:szCs w:val="12"/>
          <w:lang w:eastAsia="zh-CN"/>
        </w:rPr>
      </w:pPr>
    </w:p>
    <w:p w14:paraId="0970F4FD" w14:textId="77777777" w:rsidR="00AA62F1" w:rsidRPr="00B71DF0" w:rsidRDefault="00AA62F1" w:rsidP="00AA62F1">
      <w:pPr>
        <w:widowControl/>
        <w:numPr>
          <w:ilvl w:val="0"/>
          <w:numId w:val="1"/>
        </w:numPr>
        <w:tabs>
          <w:tab w:val="num" w:pos="450"/>
        </w:tabs>
        <w:ind w:hanging="1080"/>
        <w:contextualSpacing/>
        <w:jc w:val="both"/>
        <w:rPr>
          <w:rFonts w:eastAsia="SimSun"/>
          <w:b/>
          <w:sz w:val="22"/>
          <w:lang w:eastAsia="zh-CN"/>
        </w:rPr>
      </w:pPr>
      <w:r w:rsidRPr="00B71DF0">
        <w:rPr>
          <w:rFonts w:eastAsia="SimSun"/>
          <w:b/>
          <w:sz w:val="22"/>
          <w:lang w:eastAsia="zh-CN"/>
        </w:rPr>
        <w:t>Minutes Reviewed from Previous Meeting</w:t>
      </w:r>
    </w:p>
    <w:p w14:paraId="4D733BC4" w14:textId="77777777" w:rsidR="00AA62F1" w:rsidRPr="00A012BA" w:rsidRDefault="00AA62F1" w:rsidP="00AA62F1">
      <w:pPr>
        <w:tabs>
          <w:tab w:val="left" w:pos="1133"/>
        </w:tabs>
        <w:contextualSpacing/>
        <w:rPr>
          <w:rFonts w:eastAsia="Calibri"/>
          <w:sz w:val="12"/>
          <w:szCs w:val="12"/>
        </w:rPr>
      </w:pPr>
      <w:r w:rsidRPr="00B71DF0">
        <w:rPr>
          <w:rFonts w:eastAsia="Calibri"/>
          <w:sz w:val="22"/>
        </w:rPr>
        <w:tab/>
      </w:r>
    </w:p>
    <w:p w14:paraId="58C8AE56" w14:textId="77777777" w:rsidR="00AA62F1" w:rsidRPr="00B71DF0" w:rsidRDefault="00AA62F1" w:rsidP="00AA62F1">
      <w:pPr>
        <w:widowControl/>
        <w:numPr>
          <w:ilvl w:val="0"/>
          <w:numId w:val="1"/>
        </w:numPr>
        <w:tabs>
          <w:tab w:val="num" w:pos="450"/>
        </w:tabs>
        <w:ind w:hanging="1080"/>
        <w:contextualSpacing/>
        <w:jc w:val="both"/>
        <w:rPr>
          <w:rFonts w:eastAsia="SimSun"/>
          <w:b/>
          <w:sz w:val="22"/>
          <w:lang w:eastAsia="zh-CN"/>
        </w:rPr>
      </w:pPr>
      <w:r w:rsidRPr="00B71DF0">
        <w:rPr>
          <w:rFonts w:eastAsia="SimSun"/>
          <w:b/>
          <w:sz w:val="22"/>
          <w:lang w:eastAsia="zh-CN"/>
        </w:rPr>
        <w:t>New Business</w:t>
      </w:r>
    </w:p>
    <w:p w14:paraId="25D4F4CE" w14:textId="77777777" w:rsidR="00AA62F1" w:rsidRPr="00A012BA" w:rsidRDefault="00AA62F1" w:rsidP="00AA62F1">
      <w:pPr>
        <w:contextualSpacing/>
        <w:rPr>
          <w:rFonts w:eastAsia="SimSun"/>
          <w:sz w:val="12"/>
          <w:szCs w:val="12"/>
          <w:lang w:eastAsia="zh-CN"/>
        </w:rPr>
      </w:pPr>
    </w:p>
    <w:p w14:paraId="75C05B53" w14:textId="77777777" w:rsidR="00AA62F1" w:rsidRDefault="00AA62F1" w:rsidP="00AA62F1">
      <w:pPr>
        <w:widowControl/>
        <w:numPr>
          <w:ilvl w:val="1"/>
          <w:numId w:val="1"/>
        </w:numPr>
        <w:tabs>
          <w:tab w:val="num" w:pos="900"/>
        </w:tabs>
        <w:ind w:hanging="990"/>
        <w:contextualSpacing/>
        <w:jc w:val="both"/>
        <w:rPr>
          <w:rFonts w:eastAsia="SimSun"/>
          <w:b/>
          <w:sz w:val="22"/>
          <w:lang w:eastAsia="zh-CN"/>
        </w:rPr>
      </w:pPr>
      <w:r>
        <w:rPr>
          <w:rFonts w:eastAsia="SimSun"/>
          <w:b/>
          <w:sz w:val="22"/>
          <w:lang w:eastAsia="zh-CN"/>
        </w:rPr>
        <w:t>Public Comments on Motion for Interlocutory Appeal</w:t>
      </w:r>
    </w:p>
    <w:p w14:paraId="6F7C6CD8" w14:textId="77777777" w:rsidR="00AA62F1" w:rsidRPr="00AC5C64" w:rsidRDefault="00AA62F1" w:rsidP="00AA62F1">
      <w:pPr>
        <w:tabs>
          <w:tab w:val="num" w:pos="1440"/>
        </w:tabs>
        <w:ind w:left="1440"/>
        <w:contextualSpacing/>
        <w:rPr>
          <w:rFonts w:eastAsia="SimSun"/>
          <w:b/>
          <w:sz w:val="12"/>
          <w:szCs w:val="12"/>
          <w:lang w:eastAsia="zh-CN"/>
        </w:rPr>
      </w:pPr>
    </w:p>
    <w:p w14:paraId="547D4E2A" w14:textId="77777777" w:rsidR="00AA62F1" w:rsidRDefault="00AA62F1" w:rsidP="00AA62F1">
      <w:pPr>
        <w:widowControl/>
        <w:numPr>
          <w:ilvl w:val="1"/>
          <w:numId w:val="1"/>
        </w:numPr>
        <w:tabs>
          <w:tab w:val="num" w:pos="900"/>
        </w:tabs>
        <w:ind w:hanging="990"/>
        <w:contextualSpacing/>
        <w:jc w:val="both"/>
        <w:rPr>
          <w:rFonts w:eastAsia="SimSun"/>
          <w:b/>
          <w:sz w:val="22"/>
          <w:lang w:eastAsia="zh-CN"/>
        </w:rPr>
      </w:pPr>
      <w:r>
        <w:rPr>
          <w:rFonts w:eastAsia="SimSun"/>
          <w:b/>
          <w:sz w:val="22"/>
          <w:lang w:eastAsia="zh-CN"/>
        </w:rPr>
        <w:t>Summary of Motion for Interlocutory Appeal</w:t>
      </w:r>
    </w:p>
    <w:p w14:paraId="662C82BD" w14:textId="77777777" w:rsidR="00AA62F1" w:rsidRPr="00D74E5D" w:rsidRDefault="00AA62F1" w:rsidP="00AA62F1">
      <w:pPr>
        <w:contextualSpacing/>
        <w:rPr>
          <w:rFonts w:eastAsia="SimSun"/>
          <w:b/>
          <w:sz w:val="12"/>
          <w:szCs w:val="12"/>
          <w:lang w:eastAsia="zh-CN"/>
        </w:rPr>
      </w:pPr>
    </w:p>
    <w:p w14:paraId="6690240A" w14:textId="03A8510A" w:rsidR="00D558B3" w:rsidRPr="00816A07" w:rsidRDefault="00AA62F1" w:rsidP="00D558B3">
      <w:pPr>
        <w:pStyle w:val="ListParagraph"/>
        <w:numPr>
          <w:ilvl w:val="2"/>
          <w:numId w:val="1"/>
        </w:numPr>
        <w:tabs>
          <w:tab w:val="num" w:pos="1440"/>
        </w:tabs>
        <w:jc w:val="both"/>
        <w:rPr>
          <w:sz w:val="22"/>
          <w:szCs w:val="22"/>
        </w:rPr>
      </w:pPr>
      <w:r w:rsidRPr="00816A07">
        <w:rPr>
          <w:rFonts w:eastAsia="SimSun"/>
          <w:b/>
          <w:sz w:val="22"/>
          <w:lang w:eastAsia="zh-CN"/>
        </w:rPr>
        <w:t xml:space="preserve"> </w:t>
      </w:r>
      <w:r w:rsidR="00816A07">
        <w:rPr>
          <w:rFonts w:eastAsia="SimSun"/>
          <w:b/>
          <w:sz w:val="22"/>
          <w:lang w:eastAsia="zh-CN"/>
        </w:rPr>
        <w:t xml:space="preserve">  </w:t>
      </w:r>
      <w:r w:rsidRPr="00922BE2">
        <w:rPr>
          <w:rFonts w:eastAsia="SimSun"/>
          <w:b/>
          <w:sz w:val="22"/>
          <w:szCs w:val="22"/>
          <w:lang w:eastAsia="zh-CN"/>
        </w:rPr>
        <w:t>Employee v. D</w:t>
      </w:r>
      <w:r w:rsidR="004C4FF7" w:rsidRPr="00922BE2">
        <w:rPr>
          <w:rFonts w:eastAsia="SimSun"/>
          <w:b/>
          <w:sz w:val="22"/>
          <w:szCs w:val="22"/>
          <w:lang w:eastAsia="zh-CN"/>
        </w:rPr>
        <w:t xml:space="preserve">epartment of </w:t>
      </w:r>
      <w:r w:rsidR="00B03677" w:rsidRPr="00922BE2">
        <w:rPr>
          <w:rFonts w:eastAsia="SimSun"/>
          <w:b/>
          <w:sz w:val="22"/>
          <w:szCs w:val="22"/>
          <w:lang w:eastAsia="zh-CN"/>
        </w:rPr>
        <w:t>Youth Rehabilitation Services</w:t>
      </w:r>
      <w:r w:rsidRPr="00922BE2">
        <w:rPr>
          <w:rFonts w:eastAsia="SimSun"/>
          <w:b/>
          <w:sz w:val="22"/>
          <w:szCs w:val="22"/>
          <w:lang w:eastAsia="zh-CN"/>
        </w:rPr>
        <w:t>,</w:t>
      </w:r>
      <w:r w:rsidRPr="00816A07">
        <w:rPr>
          <w:rFonts w:eastAsia="SimSun"/>
          <w:b/>
          <w:sz w:val="22"/>
          <w:szCs w:val="22"/>
          <w:lang w:eastAsia="zh-CN"/>
        </w:rPr>
        <w:t xml:space="preserve"> OEA Matter No. </w:t>
      </w:r>
      <w:r w:rsidR="004C4FF7" w:rsidRPr="00816A07">
        <w:rPr>
          <w:rFonts w:eastAsia="SimSun"/>
          <w:b/>
          <w:sz w:val="22"/>
          <w:szCs w:val="22"/>
          <w:lang w:eastAsia="zh-CN"/>
        </w:rPr>
        <w:t>1601-0036-19C23</w:t>
      </w:r>
      <w:r w:rsidR="00922BE2">
        <w:rPr>
          <w:rFonts w:eastAsia="SimSun"/>
          <w:b/>
          <w:sz w:val="22"/>
          <w:szCs w:val="22"/>
          <w:lang w:eastAsia="zh-CN"/>
        </w:rPr>
        <w:t xml:space="preserve"> </w:t>
      </w:r>
      <w:r w:rsidRPr="00816A07">
        <w:rPr>
          <w:rFonts w:eastAsia="SimSun"/>
          <w:b/>
          <w:sz w:val="22"/>
          <w:szCs w:val="22"/>
          <w:lang w:eastAsia="zh-CN"/>
        </w:rPr>
        <w:t>–</w:t>
      </w:r>
      <w:r w:rsidR="00922BE2">
        <w:rPr>
          <w:rFonts w:eastAsia="SimSun"/>
          <w:b/>
          <w:sz w:val="22"/>
          <w:szCs w:val="22"/>
          <w:lang w:eastAsia="zh-CN"/>
        </w:rPr>
        <w:t xml:space="preserve">- </w:t>
      </w:r>
      <w:r w:rsidR="00D558B3" w:rsidRPr="00816A07">
        <w:rPr>
          <w:sz w:val="22"/>
          <w:szCs w:val="22"/>
        </w:rPr>
        <w:t>Employee worked as a Youth Development Representative (“YDR”) with the Department of Youth Rehabilitation Services (“Agency”). On September 10, 2018, Agency issued a Notification of Charge of Absence Without Official Leave (“AWOL”), notifying Employee that she was placed in AWOL status for a total of forty hours between August 20, 2018, and August 26, 2018. On November 29, 2018, Agency issued an Advance Written Notice of Proposed Removal, charging Employee with 1) inability to carry out assigned responsibilities or duties and 2) attendance-related offenses.</w:t>
      </w:r>
    </w:p>
    <w:p w14:paraId="76CBF6D7" w14:textId="77777777" w:rsidR="00816A07" w:rsidRPr="00D85256" w:rsidRDefault="00816A07" w:rsidP="00816A07">
      <w:pPr>
        <w:contextualSpacing/>
        <w:jc w:val="both"/>
        <w:rPr>
          <w:sz w:val="12"/>
          <w:szCs w:val="12"/>
        </w:rPr>
      </w:pPr>
    </w:p>
    <w:p w14:paraId="42C3909D" w14:textId="40188A4B" w:rsidR="00D558B3" w:rsidRPr="00816A07" w:rsidRDefault="00D558B3" w:rsidP="00816A07">
      <w:pPr>
        <w:ind w:left="1620"/>
        <w:contextualSpacing/>
        <w:jc w:val="both"/>
        <w:rPr>
          <w:sz w:val="22"/>
          <w:szCs w:val="22"/>
        </w:rPr>
      </w:pPr>
      <w:r w:rsidRPr="00816A07">
        <w:rPr>
          <w:sz w:val="22"/>
          <w:szCs w:val="22"/>
        </w:rPr>
        <w:lastRenderedPageBreak/>
        <w:t>Employee filed a Petition for Appeal with the Office of Employee Appeals (“OEA”) on February 28, 2019. Agency filed a Motion to Dismiss and Answer to Employee’s Petition for Appeal on April 1, 2019. The OEA Administrative Judge (“AJ”) issued an Initial Decision on February 3, 2022. Concerning the penalty, the AJ provided that both the proposing and deciding officials only referred to the attendance-related offenses to support Agency’s selection of the penalty. Since this charge was reversed, she remanded the matter to Agency to determine what penalty, if any, was appropriate based on the remaining charge of inability to carry out assigned duties.</w:t>
      </w:r>
    </w:p>
    <w:p w14:paraId="1AB9BDD9" w14:textId="77777777" w:rsidR="00816A07" w:rsidRPr="002D2C7B" w:rsidRDefault="00816A07" w:rsidP="00816A07">
      <w:pPr>
        <w:contextualSpacing/>
        <w:jc w:val="both"/>
        <w:rPr>
          <w:sz w:val="12"/>
          <w:szCs w:val="12"/>
        </w:rPr>
      </w:pPr>
    </w:p>
    <w:p w14:paraId="638FAFF9" w14:textId="5F897C67" w:rsidR="00D558B3" w:rsidRPr="00816A07" w:rsidRDefault="00D558B3" w:rsidP="00816A07">
      <w:pPr>
        <w:ind w:left="1620"/>
        <w:contextualSpacing/>
        <w:jc w:val="both"/>
        <w:rPr>
          <w:sz w:val="22"/>
          <w:szCs w:val="22"/>
        </w:rPr>
      </w:pPr>
      <w:r w:rsidRPr="00816A07">
        <w:rPr>
          <w:sz w:val="22"/>
          <w:szCs w:val="22"/>
        </w:rPr>
        <w:t>Agency filed a Petition for Review with the OEA Board on March 10, 2022. The Board issued an Opinion and Order on Petition for Review on June 30, 2022. It ruled that the AJ’s decision to remand the matter to Agency for reconsideration of the penalty was based on substantial evidence. Therefore, Agency’s Petition for Review was denied, and the matter was remanded to Agency to reconsider the imposed penalty.</w:t>
      </w:r>
    </w:p>
    <w:p w14:paraId="3257CC9E" w14:textId="77777777" w:rsidR="00816A07" w:rsidRPr="002D2C7B" w:rsidRDefault="00816A07" w:rsidP="00816A07">
      <w:pPr>
        <w:contextualSpacing/>
        <w:jc w:val="both"/>
        <w:rPr>
          <w:sz w:val="12"/>
          <w:szCs w:val="12"/>
        </w:rPr>
      </w:pPr>
    </w:p>
    <w:p w14:paraId="1A5ED49A" w14:textId="38AEE294" w:rsidR="00D558B3" w:rsidRPr="00816A07" w:rsidRDefault="00D558B3" w:rsidP="00816A07">
      <w:pPr>
        <w:ind w:left="1620"/>
        <w:contextualSpacing/>
        <w:jc w:val="both"/>
        <w:rPr>
          <w:sz w:val="22"/>
          <w:szCs w:val="22"/>
        </w:rPr>
      </w:pPr>
      <w:r w:rsidRPr="00816A07">
        <w:rPr>
          <w:sz w:val="22"/>
          <w:szCs w:val="22"/>
        </w:rPr>
        <w:t>According to Agency, during a November 2, 2022, Fitness for Duty Examination, Employee was evaluated by Dr. Karen Singleton, who determined that Employee was not capable of performing the essential functions of the YDR position. Dr. Singleton further concluded that there were no accommodations that would permit Employee to safely perform her duties. Agency’s Human Resources Director then conducted a review of Employee’s resume in concert with all vacancies but determined that there were no positions for which Employee was qualified at her listed grade level. As a result, Agency issued a Final Agency Decision: Removal to Employee on May 4, 2023, because it opined that termination was the only reasonable penalty.</w:t>
      </w:r>
    </w:p>
    <w:p w14:paraId="679237A6" w14:textId="77777777" w:rsidR="00816A07" w:rsidRPr="002D2C7B" w:rsidRDefault="00816A07" w:rsidP="00816A07">
      <w:pPr>
        <w:contextualSpacing/>
        <w:jc w:val="both"/>
        <w:rPr>
          <w:sz w:val="12"/>
          <w:szCs w:val="12"/>
        </w:rPr>
      </w:pPr>
    </w:p>
    <w:p w14:paraId="430ED610" w14:textId="6EB6F7CF" w:rsidR="00D558B3" w:rsidRPr="00816A07" w:rsidRDefault="00D558B3" w:rsidP="00D51BD0">
      <w:pPr>
        <w:ind w:left="1620"/>
        <w:contextualSpacing/>
        <w:jc w:val="both"/>
        <w:rPr>
          <w:sz w:val="22"/>
          <w:szCs w:val="22"/>
        </w:rPr>
      </w:pPr>
      <w:r w:rsidRPr="00816A07">
        <w:rPr>
          <w:sz w:val="22"/>
          <w:szCs w:val="22"/>
        </w:rPr>
        <w:t>Employee filed a second Petition for Appeal in relation to this matter on June 5, 2023. Agency filed its answer on June 30, 2023. During an August 18, 2023, prehearing conference, the AJ gleaned that Employee’s June 5</w:t>
      </w:r>
      <w:r w:rsidRPr="00816A07">
        <w:rPr>
          <w:sz w:val="22"/>
          <w:szCs w:val="22"/>
          <w:vertAlign w:val="superscript"/>
        </w:rPr>
        <w:t>th</w:t>
      </w:r>
      <w:r w:rsidRPr="00816A07">
        <w:rPr>
          <w:sz w:val="22"/>
          <w:szCs w:val="22"/>
        </w:rPr>
        <w:t xml:space="preserve"> filing constituted a challenge to Agency’s compliance with the Board’s order remanding the matter for reconsideration of the penalty. Agency was subsequently ordered to submit a statement of compliance to the AJ no later than March 22, 2024. In response, Agency asserted that in the absence of any option to retain Employee, it proposed her removal was consistent with 6-B DCMR §§ 1605.4(n) and 1607.2(n) because it was determined that Employee could not perform the essential functions of her job. Employee filed a rebuttal to Agency’s compliance statement on June 10, 2024. Agency was then ordered to supplement the record with additional documentation pertinent to Employee’s ankle fracture so that the AJ could determine if Agency properly considered the injury during the fitness evaluation.</w:t>
      </w:r>
    </w:p>
    <w:p w14:paraId="4DDDE0F6" w14:textId="77777777" w:rsidR="00D51BD0" w:rsidRPr="002D2C7B" w:rsidRDefault="00D51BD0" w:rsidP="00D51BD0">
      <w:pPr>
        <w:contextualSpacing/>
        <w:jc w:val="both"/>
        <w:rPr>
          <w:sz w:val="12"/>
          <w:szCs w:val="12"/>
        </w:rPr>
      </w:pPr>
    </w:p>
    <w:p w14:paraId="2B36ED8B" w14:textId="7A216793" w:rsidR="00D558B3" w:rsidRPr="00816A07" w:rsidRDefault="00D558B3" w:rsidP="006D0B13">
      <w:pPr>
        <w:ind w:left="1620"/>
        <w:contextualSpacing/>
        <w:jc w:val="both"/>
        <w:rPr>
          <w:sz w:val="22"/>
          <w:szCs w:val="22"/>
        </w:rPr>
      </w:pPr>
      <w:r w:rsidRPr="00816A07">
        <w:rPr>
          <w:sz w:val="22"/>
          <w:szCs w:val="22"/>
        </w:rPr>
        <w:t xml:space="preserve">On January 29, 2025, the AJ issued a </w:t>
      </w:r>
      <w:proofErr w:type="spellStart"/>
      <w:r w:rsidRPr="00816A07">
        <w:rPr>
          <w:i/>
          <w:iCs/>
          <w:sz w:val="22"/>
          <w:szCs w:val="22"/>
        </w:rPr>
        <w:t>sua</w:t>
      </w:r>
      <w:proofErr w:type="spellEnd"/>
      <w:r w:rsidRPr="00816A07">
        <w:rPr>
          <w:i/>
          <w:iCs/>
          <w:sz w:val="22"/>
          <w:szCs w:val="22"/>
        </w:rPr>
        <w:t xml:space="preserve"> sponte</w:t>
      </w:r>
      <w:r w:rsidRPr="00816A07">
        <w:rPr>
          <w:sz w:val="22"/>
          <w:szCs w:val="22"/>
        </w:rPr>
        <w:t xml:space="preserve"> order requesting further information from Employee’s evaluating physicians, including their resumes, medical qualifications, physical examination results, and other medical opinions. Agency requested reconsideration of the AJ’s order on February 18, 2025, citing issues of confidentiality and the lack of expert witness qualification. The AJ denied the motion in a February 24, 2025, order, and Agency was again directed to submit the documentation identified in the previous order. On March 4, 2025, Agency filed a Motion for Certification of Interlocutory Appeal and Request for Stay of Proceedings contesting the AJ’s February 24</w:t>
      </w:r>
      <w:r w:rsidRPr="00816A07">
        <w:rPr>
          <w:sz w:val="22"/>
          <w:szCs w:val="22"/>
          <w:vertAlign w:val="superscript"/>
        </w:rPr>
        <w:t>th</w:t>
      </w:r>
      <w:r w:rsidRPr="00816A07">
        <w:rPr>
          <w:sz w:val="22"/>
          <w:szCs w:val="22"/>
        </w:rPr>
        <w:t xml:space="preserve"> order. The AJ stayed the proceedings on March 10, 2023, but did not certify the matter to the Board.</w:t>
      </w:r>
    </w:p>
    <w:p w14:paraId="0C8BFFC2" w14:textId="77777777" w:rsidR="006D0B13" w:rsidRPr="002D2C7B" w:rsidRDefault="006D0B13" w:rsidP="006D0B13">
      <w:pPr>
        <w:contextualSpacing/>
        <w:jc w:val="both"/>
        <w:rPr>
          <w:sz w:val="12"/>
          <w:szCs w:val="12"/>
        </w:rPr>
      </w:pPr>
    </w:p>
    <w:p w14:paraId="7543BD24" w14:textId="54C3EA18" w:rsidR="00D558B3" w:rsidRPr="00816A07" w:rsidRDefault="00D558B3" w:rsidP="00693850">
      <w:pPr>
        <w:ind w:left="1620"/>
        <w:contextualSpacing/>
        <w:jc w:val="both"/>
        <w:rPr>
          <w:sz w:val="22"/>
          <w:szCs w:val="22"/>
        </w:rPr>
      </w:pPr>
      <w:r w:rsidRPr="00816A07">
        <w:rPr>
          <w:sz w:val="22"/>
          <w:szCs w:val="22"/>
        </w:rPr>
        <w:t xml:space="preserve">On June 17, 2025, AJ Lim issued an order informing the parties that the matter was reassigned to him after AJ Hochhauser, who was previously assigned to this matter, left the employ of OEA. The order directed the parties to provide electronic copies of all relevant documents pertaining to the matter including the “[Initial Decision], Opinion &amp; </w:t>
      </w:r>
      <w:r w:rsidRPr="00816A07">
        <w:rPr>
          <w:sz w:val="22"/>
          <w:szCs w:val="22"/>
        </w:rPr>
        <w:lastRenderedPageBreak/>
        <w:t>Order, Motion for Compliance, Motion for Interlocutory Appeal, etc.” He clarified that the “purpose of which is to discuss this matter so that I can determine the best path forward with regards to this appeal.”</w:t>
      </w:r>
    </w:p>
    <w:p w14:paraId="2B7962A5" w14:textId="77777777" w:rsidR="006D0B13" w:rsidRPr="002D2C7B" w:rsidRDefault="006D0B13" w:rsidP="006D0B13">
      <w:pPr>
        <w:contextualSpacing/>
        <w:jc w:val="both"/>
        <w:rPr>
          <w:sz w:val="12"/>
          <w:szCs w:val="12"/>
        </w:rPr>
      </w:pPr>
    </w:p>
    <w:p w14:paraId="42BC1181" w14:textId="45EDF16E" w:rsidR="00D558B3" w:rsidRPr="00816A07" w:rsidRDefault="00D558B3" w:rsidP="00693850">
      <w:pPr>
        <w:ind w:left="1620"/>
        <w:contextualSpacing/>
        <w:jc w:val="both"/>
        <w:rPr>
          <w:sz w:val="22"/>
          <w:szCs w:val="22"/>
        </w:rPr>
      </w:pPr>
      <w:r w:rsidRPr="00816A07">
        <w:rPr>
          <w:sz w:val="22"/>
          <w:szCs w:val="22"/>
        </w:rPr>
        <w:t>During a July 7, 2025, status conference, the parties discussed Employee’s request for leave to file a motion for summary judgment, AJ Hochhauser’s January 29</w:t>
      </w:r>
      <w:r w:rsidRPr="00816A07">
        <w:rPr>
          <w:sz w:val="22"/>
          <w:szCs w:val="22"/>
          <w:vertAlign w:val="superscript"/>
        </w:rPr>
        <w:t>th</w:t>
      </w:r>
      <w:r w:rsidRPr="00816A07">
        <w:rPr>
          <w:sz w:val="22"/>
          <w:szCs w:val="22"/>
        </w:rPr>
        <w:t xml:space="preserve"> and February 24</w:t>
      </w:r>
      <w:r w:rsidRPr="00816A07">
        <w:rPr>
          <w:sz w:val="22"/>
          <w:szCs w:val="22"/>
          <w:vertAlign w:val="superscript"/>
        </w:rPr>
        <w:t>th</w:t>
      </w:r>
      <w:r w:rsidRPr="00816A07">
        <w:rPr>
          <w:sz w:val="22"/>
          <w:szCs w:val="22"/>
        </w:rPr>
        <w:t xml:space="preserve"> orders, and Agency’s motion to certify an interlocutory appeal of the order to the OEA Board. The AJ informed the parties of his intention to revoke AJ Hocchauser’s orders, and Agency provided that it would submit a formal request to withdraw its request for certification. The July 7, 2025, Order revoked AJ Hochhauser’s January 29, 2025, order, and Employee was also directed to submit her motion for summary judgment no later than July 18, 2025. </w:t>
      </w:r>
    </w:p>
    <w:p w14:paraId="2F61D8F8" w14:textId="77777777" w:rsidR="006D0B13" w:rsidRPr="002D2C7B" w:rsidRDefault="006D0B13" w:rsidP="006D0B13">
      <w:pPr>
        <w:contextualSpacing/>
        <w:jc w:val="both"/>
        <w:rPr>
          <w:sz w:val="12"/>
          <w:szCs w:val="12"/>
        </w:rPr>
      </w:pPr>
    </w:p>
    <w:p w14:paraId="43F84C6B" w14:textId="318271FD" w:rsidR="00D558B3" w:rsidRPr="00816A07" w:rsidRDefault="00D558B3" w:rsidP="00693850">
      <w:pPr>
        <w:ind w:left="1620"/>
        <w:contextualSpacing/>
        <w:jc w:val="both"/>
        <w:rPr>
          <w:sz w:val="22"/>
          <w:szCs w:val="22"/>
        </w:rPr>
      </w:pPr>
      <w:r w:rsidRPr="00816A07">
        <w:rPr>
          <w:sz w:val="22"/>
          <w:szCs w:val="22"/>
        </w:rPr>
        <w:t>Agency submitted a written notice to withdraw its request to certify an interlocutory appeal on July 10, 2025. On July 14, 2025, the AJ accepted Agency’s withdrawal and revoked the February 24</w:t>
      </w:r>
      <w:r w:rsidRPr="00816A07">
        <w:rPr>
          <w:sz w:val="22"/>
          <w:szCs w:val="22"/>
          <w:vertAlign w:val="superscript"/>
        </w:rPr>
        <w:t>th</w:t>
      </w:r>
      <w:r w:rsidRPr="00816A07">
        <w:rPr>
          <w:sz w:val="22"/>
          <w:szCs w:val="22"/>
        </w:rPr>
        <w:t xml:space="preserve"> order. Employee filed a Motion for Summary Judgment on August 14, 2025, and Agency filed its response on August 29, 2025.</w:t>
      </w:r>
    </w:p>
    <w:p w14:paraId="35F83593" w14:textId="77777777" w:rsidR="00E2467E" w:rsidRPr="002D2C7B" w:rsidRDefault="00E2467E" w:rsidP="00E2467E">
      <w:pPr>
        <w:contextualSpacing/>
        <w:jc w:val="both"/>
        <w:rPr>
          <w:sz w:val="12"/>
          <w:szCs w:val="12"/>
        </w:rPr>
      </w:pPr>
    </w:p>
    <w:p w14:paraId="27987472" w14:textId="19FDBC5B" w:rsidR="00D558B3" w:rsidRPr="00816A07" w:rsidRDefault="00D558B3" w:rsidP="00693850">
      <w:pPr>
        <w:ind w:left="1620"/>
        <w:contextualSpacing/>
        <w:jc w:val="both"/>
        <w:rPr>
          <w:sz w:val="22"/>
          <w:szCs w:val="22"/>
          <w:u w:val="single"/>
        </w:rPr>
      </w:pPr>
      <w:r w:rsidRPr="00816A07">
        <w:rPr>
          <w:sz w:val="22"/>
          <w:szCs w:val="22"/>
        </w:rPr>
        <w:t xml:space="preserve">On September 3, 2025, Employee filed an Affidavit in Support of Motion to Recuse the Reassigned Administrative Judge. In response, Agency filed an opposition to Employee’s recusal motion on September 10, 2025. The AJ issued an Order on Recusal on September 16, 2025, denying Employee’s motion. On September 23, 2025, Employee filed an interlocutory appeal of the AJ’s denial of the Motion for Recusal with the OEA Board. She argues that the AJ (1) failed to impose sanctions for </w:t>
      </w:r>
      <w:r w:rsidRPr="00816A07">
        <w:rPr>
          <w:i/>
          <w:iCs/>
          <w:sz w:val="22"/>
          <w:szCs w:val="22"/>
        </w:rPr>
        <w:t xml:space="preserve">ex </w:t>
      </w:r>
      <w:proofErr w:type="spellStart"/>
      <w:r w:rsidRPr="00816A07">
        <w:rPr>
          <w:i/>
          <w:iCs/>
          <w:sz w:val="22"/>
          <w:szCs w:val="22"/>
        </w:rPr>
        <w:t>parte</w:t>
      </w:r>
      <w:proofErr w:type="spellEnd"/>
      <w:r w:rsidRPr="00816A07">
        <w:rPr>
          <w:sz w:val="22"/>
          <w:szCs w:val="22"/>
        </w:rPr>
        <w:t xml:space="preserve"> communications by Agency; (2) exhibited bias against Employee at the July 7, 2025, status conference; and (3) displayed bias or prejudice by revoking orders originally issued by AJ Hochhauser. Thereafter, the AJ issued an order certifying Employee’s appeal to the OEA Board, noting that while it was not titled as such, this Office would treat her filing as a Motion for Certification of Interlocutory Appeal. The issue before this Board is whether the AJ should be disqualified from adjudicating this matter.</w:t>
      </w:r>
    </w:p>
    <w:p w14:paraId="60C45224" w14:textId="77777777" w:rsidR="00D558B3" w:rsidRPr="009B4D6A" w:rsidRDefault="00D558B3" w:rsidP="00D63A93">
      <w:pPr>
        <w:pStyle w:val="ListParagraph"/>
        <w:tabs>
          <w:tab w:val="num" w:pos="1440"/>
        </w:tabs>
        <w:ind w:left="1620"/>
        <w:jc w:val="both"/>
        <w:rPr>
          <w:rFonts w:eastAsia="SimSun"/>
          <w:b/>
          <w:sz w:val="12"/>
          <w:szCs w:val="12"/>
          <w:lang w:eastAsia="zh-CN"/>
        </w:rPr>
      </w:pPr>
    </w:p>
    <w:p w14:paraId="606ACEC5" w14:textId="77777777" w:rsidR="001766A3" w:rsidRDefault="001766A3" w:rsidP="001766A3">
      <w:pPr>
        <w:widowControl/>
        <w:numPr>
          <w:ilvl w:val="1"/>
          <w:numId w:val="1"/>
        </w:numPr>
        <w:tabs>
          <w:tab w:val="num" w:pos="900"/>
        </w:tabs>
        <w:ind w:hanging="990"/>
        <w:contextualSpacing/>
        <w:jc w:val="both"/>
        <w:rPr>
          <w:rFonts w:eastAsia="SimSun"/>
          <w:b/>
          <w:sz w:val="22"/>
          <w:lang w:eastAsia="zh-CN"/>
        </w:rPr>
      </w:pPr>
      <w:r w:rsidRPr="00B71DF0">
        <w:rPr>
          <w:rFonts w:eastAsia="SimSun"/>
          <w:b/>
          <w:sz w:val="22"/>
          <w:lang w:eastAsia="zh-CN"/>
        </w:rPr>
        <w:t>Public Comments on Petitions for Review</w:t>
      </w:r>
    </w:p>
    <w:p w14:paraId="7CC2575C" w14:textId="77777777" w:rsidR="001766A3" w:rsidRPr="001766A3" w:rsidRDefault="001766A3" w:rsidP="001766A3">
      <w:pPr>
        <w:widowControl/>
        <w:tabs>
          <w:tab w:val="num" w:pos="900"/>
        </w:tabs>
        <w:ind w:left="1440"/>
        <w:contextualSpacing/>
        <w:jc w:val="both"/>
        <w:rPr>
          <w:rFonts w:eastAsia="SimSun"/>
          <w:b/>
          <w:sz w:val="12"/>
          <w:szCs w:val="12"/>
          <w:lang w:eastAsia="zh-CN"/>
        </w:rPr>
      </w:pPr>
    </w:p>
    <w:p w14:paraId="613C8D37" w14:textId="73DBB9C0" w:rsidR="00BF5922" w:rsidRDefault="00BF5922" w:rsidP="00BF5922">
      <w:pPr>
        <w:widowControl/>
        <w:numPr>
          <w:ilvl w:val="1"/>
          <w:numId w:val="1"/>
        </w:numPr>
        <w:tabs>
          <w:tab w:val="num" w:pos="900"/>
        </w:tabs>
        <w:ind w:hanging="990"/>
        <w:contextualSpacing/>
        <w:jc w:val="both"/>
        <w:rPr>
          <w:rFonts w:eastAsia="SimSun"/>
          <w:b/>
          <w:sz w:val="22"/>
          <w:szCs w:val="22"/>
          <w:lang w:eastAsia="zh-CN"/>
        </w:rPr>
      </w:pPr>
      <w:r w:rsidRPr="00CB2B33">
        <w:rPr>
          <w:rFonts w:eastAsia="SimSun"/>
          <w:b/>
          <w:sz w:val="22"/>
          <w:szCs w:val="22"/>
          <w:lang w:eastAsia="zh-CN"/>
        </w:rPr>
        <w:t>Summary of Cases</w:t>
      </w:r>
    </w:p>
    <w:p w14:paraId="6B025D1B" w14:textId="77777777" w:rsidR="00BF5922" w:rsidRPr="001B2C15" w:rsidRDefault="00BF5922" w:rsidP="00BF5922">
      <w:pPr>
        <w:pStyle w:val="ListParagraph"/>
        <w:rPr>
          <w:rFonts w:eastAsia="SimSun"/>
          <w:b/>
          <w:sz w:val="12"/>
          <w:szCs w:val="12"/>
          <w:lang w:eastAsia="zh-CN"/>
        </w:rPr>
      </w:pPr>
    </w:p>
    <w:p w14:paraId="70D53D38" w14:textId="1AB9F061" w:rsidR="00B44551" w:rsidRPr="00B44551" w:rsidRDefault="00BF5922" w:rsidP="00B44551">
      <w:pPr>
        <w:pStyle w:val="ListParagraph"/>
        <w:numPr>
          <w:ilvl w:val="2"/>
          <w:numId w:val="1"/>
        </w:numPr>
        <w:jc w:val="both"/>
        <w:rPr>
          <w:sz w:val="22"/>
          <w:szCs w:val="22"/>
          <w14:ligatures w14:val="none"/>
        </w:rPr>
      </w:pPr>
      <w:r w:rsidRPr="00B44551">
        <w:rPr>
          <w:rFonts w:eastAsia="SimSun"/>
          <w:b/>
          <w:sz w:val="22"/>
          <w:szCs w:val="22"/>
          <w:lang w:eastAsia="zh-CN"/>
        </w:rPr>
        <w:t xml:space="preserve">Employee v. </w:t>
      </w:r>
      <w:r w:rsidR="00DF649F" w:rsidRPr="00B44551">
        <w:rPr>
          <w:rFonts w:eastAsia="SimSun"/>
          <w:b/>
          <w:sz w:val="22"/>
          <w:szCs w:val="22"/>
          <w:lang w:eastAsia="zh-CN"/>
        </w:rPr>
        <w:t>Office of the Chief Technology Officer</w:t>
      </w:r>
      <w:r w:rsidRPr="00B44551">
        <w:rPr>
          <w:rFonts w:eastAsia="SimSun"/>
          <w:b/>
          <w:sz w:val="22"/>
          <w:szCs w:val="22"/>
          <w:lang w:eastAsia="zh-CN"/>
        </w:rPr>
        <w:t xml:space="preserve">, OEA Matter No. </w:t>
      </w:r>
      <w:r w:rsidR="00DF649F" w:rsidRPr="00B44551">
        <w:rPr>
          <w:b/>
          <w:bCs/>
          <w:sz w:val="22"/>
          <w:szCs w:val="22"/>
        </w:rPr>
        <w:t>1601-0083-22R24R25</w:t>
      </w:r>
      <w:r w:rsidR="00B44551">
        <w:rPr>
          <w:b/>
          <w:bCs/>
          <w:sz w:val="22"/>
          <w:szCs w:val="22"/>
        </w:rPr>
        <w:t xml:space="preserve"> </w:t>
      </w:r>
      <w:r w:rsidR="00DF649F" w:rsidRPr="00B44551">
        <w:rPr>
          <w:b/>
          <w:bCs/>
          <w:sz w:val="22"/>
          <w:szCs w:val="22"/>
        </w:rPr>
        <w:t>—</w:t>
      </w:r>
      <w:r w:rsidR="00B44551">
        <w:rPr>
          <w:b/>
          <w:bCs/>
          <w:sz w:val="22"/>
          <w:szCs w:val="22"/>
        </w:rPr>
        <w:t xml:space="preserve"> </w:t>
      </w:r>
      <w:r w:rsidR="00B44551" w:rsidRPr="00B44551">
        <w:rPr>
          <w:sz w:val="22"/>
          <w:szCs w:val="22"/>
          <w14:ligatures w14:val="none"/>
        </w:rPr>
        <w:t xml:space="preserve">This matter was previously before this Board. Employee worked as an Information Technology Specialist for the Office of the Chief Technology Officer (“Agency”). On August 31, 2022, Agency issued a final notice of separation removing Employee from his position. Employee was charged with falsifying time entries, in violation of </w:t>
      </w:r>
      <w:bookmarkStart w:id="1" w:name="_Hlk197412806"/>
      <w:r w:rsidR="00B44551" w:rsidRPr="00B44551">
        <w:rPr>
          <w:sz w:val="22"/>
          <w:szCs w:val="22"/>
          <w14:ligatures w14:val="none"/>
        </w:rPr>
        <w:t xml:space="preserve">6-B District of Columbia Municipal Regulations (“DCMR”) §§ 1607.2(c)(1) – </w:t>
      </w:r>
      <w:bookmarkStart w:id="2" w:name="_Hlk209425487"/>
      <w:r w:rsidR="00B44551" w:rsidRPr="00B44551">
        <w:rPr>
          <w:sz w:val="22"/>
          <w:szCs w:val="22"/>
          <w14:ligatures w14:val="none"/>
        </w:rPr>
        <w:t xml:space="preserve">knowing submission of (or causing or allowing the submission of) falsely stated time logs, leave forms, travel or purchase vouchers, payroll, loan, or other fiscal documents and 1607.2(b)(2) – misrepresentation, falsification, or concealment of material facts or records in connection with an official matter, including investigations. </w:t>
      </w:r>
      <w:bookmarkEnd w:id="1"/>
      <w:bookmarkEnd w:id="2"/>
      <w:r w:rsidR="00B44551" w:rsidRPr="00B44551">
        <w:rPr>
          <w:sz w:val="22"/>
          <w:szCs w:val="22"/>
          <w14:ligatures w14:val="none"/>
        </w:rPr>
        <w:t>Agency alleged that Employee falsified time logs by submitting entries for hours not worked between August 4, 2021, and February 11, 2022, which resulted in Agency overpaying $53,391.66 in wages to Employee. Additionally, Agency contended that during its investigation, Employee provided conflicting answers and refused to answer questions related to the overpayment of funds. Consequently, Employee was terminated.</w:t>
      </w:r>
    </w:p>
    <w:p w14:paraId="3F9A7618" w14:textId="77777777" w:rsidR="00B44551" w:rsidRDefault="00B44551" w:rsidP="00B44551">
      <w:pPr>
        <w:contextualSpacing/>
        <w:jc w:val="both"/>
        <w:rPr>
          <w:sz w:val="22"/>
          <w:szCs w:val="22"/>
          <w14:ligatures w14:val="none"/>
        </w:rPr>
      </w:pPr>
    </w:p>
    <w:p w14:paraId="23B14E2A" w14:textId="3424BF36" w:rsidR="00B44551" w:rsidRPr="003C25A4" w:rsidRDefault="00B44551" w:rsidP="00DE5C6D">
      <w:pPr>
        <w:ind w:left="1620"/>
        <w:contextualSpacing/>
        <w:jc w:val="both"/>
        <w:rPr>
          <w:sz w:val="22"/>
          <w:szCs w:val="22"/>
          <w14:ligatures w14:val="none"/>
        </w:rPr>
      </w:pPr>
      <w:r w:rsidRPr="003C25A4">
        <w:rPr>
          <w:sz w:val="22"/>
          <w:szCs w:val="22"/>
          <w14:ligatures w14:val="none"/>
        </w:rPr>
        <w:t>On September 30, 2022, Employee filed a Petition for Appeal with the Office of</w:t>
      </w:r>
      <w:r w:rsidR="00DE5C6D">
        <w:rPr>
          <w:sz w:val="22"/>
          <w:szCs w:val="22"/>
          <w14:ligatures w14:val="none"/>
        </w:rPr>
        <w:t xml:space="preserve"> </w:t>
      </w:r>
      <w:r w:rsidRPr="003C25A4">
        <w:rPr>
          <w:sz w:val="22"/>
          <w:szCs w:val="22"/>
          <w14:ligatures w14:val="none"/>
        </w:rPr>
        <w:t xml:space="preserve">Employee Appeals (“OEA”). He argued that he did not knowingly submit false time logs.  </w:t>
      </w:r>
      <w:r w:rsidRPr="003C25A4">
        <w:rPr>
          <w:sz w:val="22"/>
          <w:szCs w:val="22"/>
          <w14:ligatures w14:val="none"/>
        </w:rPr>
        <w:lastRenderedPageBreak/>
        <w:t>Employee contended that he was unaware that PeopleSoft was automatically inputting his time. As a result, he requested that the termination action be rescinded and that he be reinstated to his previous position.</w:t>
      </w:r>
    </w:p>
    <w:p w14:paraId="641053C2" w14:textId="77777777" w:rsidR="00B44551" w:rsidRPr="00DE5C6D" w:rsidRDefault="00B44551" w:rsidP="00B44551">
      <w:pPr>
        <w:contextualSpacing/>
        <w:jc w:val="both"/>
        <w:rPr>
          <w:sz w:val="12"/>
          <w:szCs w:val="12"/>
          <w14:ligatures w14:val="none"/>
        </w:rPr>
      </w:pPr>
    </w:p>
    <w:p w14:paraId="616A23A6" w14:textId="32541D52" w:rsidR="00B44551" w:rsidRPr="003C25A4" w:rsidRDefault="00B44551" w:rsidP="00DE5C6D">
      <w:pPr>
        <w:ind w:left="1620"/>
        <w:contextualSpacing/>
        <w:jc w:val="both"/>
        <w:rPr>
          <w:sz w:val="22"/>
          <w:szCs w:val="22"/>
          <w14:ligatures w14:val="none"/>
        </w:rPr>
      </w:pPr>
      <w:r w:rsidRPr="003C25A4">
        <w:rPr>
          <w:sz w:val="22"/>
          <w:szCs w:val="22"/>
          <w14:ligatures w14:val="none"/>
        </w:rPr>
        <w:t>According to Agency, Employee admitted that he manually input his time for</w:t>
      </w:r>
      <w:r w:rsidR="00DE5C6D">
        <w:rPr>
          <w:sz w:val="22"/>
          <w:szCs w:val="22"/>
          <w14:ligatures w14:val="none"/>
        </w:rPr>
        <w:t xml:space="preserve"> </w:t>
      </w:r>
      <w:r w:rsidRPr="003C25A4">
        <w:rPr>
          <w:sz w:val="22"/>
          <w:szCs w:val="22"/>
          <w14:ligatures w14:val="none"/>
        </w:rPr>
        <w:t xml:space="preserve">days he reported to work in-person, which was a direct violation of its </w:t>
      </w:r>
      <w:bookmarkStart w:id="3" w:name="_Hlk208557874"/>
      <w:r w:rsidRPr="003C25A4">
        <w:rPr>
          <w:sz w:val="22"/>
          <w:szCs w:val="22"/>
          <w14:ligatures w14:val="none"/>
        </w:rPr>
        <w:t xml:space="preserve">Exception Time Reporting (“ETR”) </w:t>
      </w:r>
      <w:bookmarkEnd w:id="3"/>
      <w:r w:rsidRPr="003C25A4">
        <w:rPr>
          <w:sz w:val="22"/>
          <w:szCs w:val="22"/>
          <w14:ligatures w14:val="none"/>
        </w:rPr>
        <w:t xml:space="preserve">policy. Moreover, it argued that Employee received ETR training and was aware that manually entering his regular hours constituted a violation of its policy and that his actions could have resulted in an overpayment of wages. Agency also asserted that Employee misrepresented, falsified, or concealed material facts during an official investigation. Further, it contended that based on the Table of Illustrative Actions in 6-B DCMR § 1607.2, removal was appropriate given Employee’s conduct. Agency explained that it considered the </w:t>
      </w:r>
      <w:r w:rsidRPr="003C25A4">
        <w:rPr>
          <w:i/>
          <w:iCs/>
          <w:sz w:val="22"/>
          <w:szCs w:val="22"/>
          <w14:ligatures w14:val="none"/>
        </w:rPr>
        <w:t>Douglas</w:t>
      </w:r>
      <w:r w:rsidRPr="003C25A4">
        <w:rPr>
          <w:sz w:val="22"/>
          <w:szCs w:val="22"/>
          <w14:ligatures w14:val="none"/>
        </w:rPr>
        <w:t xml:space="preserve"> factors when selecting the penalty of removal. Therefore, it requested that the Petition for Appeal be dismissed.  </w:t>
      </w:r>
    </w:p>
    <w:p w14:paraId="3FE67FE8" w14:textId="77777777" w:rsidR="00B44551" w:rsidRPr="00DE5C6D" w:rsidRDefault="00B44551" w:rsidP="00B44551">
      <w:pPr>
        <w:contextualSpacing/>
        <w:jc w:val="both"/>
        <w:rPr>
          <w:sz w:val="12"/>
          <w:szCs w:val="12"/>
          <w14:ligatures w14:val="none"/>
        </w:rPr>
      </w:pPr>
    </w:p>
    <w:p w14:paraId="08C5B0A4" w14:textId="77777777" w:rsidR="00B44551" w:rsidRPr="003C25A4" w:rsidRDefault="00B44551" w:rsidP="00DE5C6D">
      <w:pPr>
        <w:ind w:left="1620"/>
        <w:contextualSpacing/>
        <w:jc w:val="both"/>
        <w:rPr>
          <w:sz w:val="22"/>
          <w:szCs w:val="22"/>
          <w14:ligatures w14:val="none"/>
        </w:rPr>
      </w:pPr>
      <w:r w:rsidRPr="003C25A4">
        <w:rPr>
          <w:sz w:val="22"/>
          <w:szCs w:val="22"/>
          <w14:ligatures w14:val="none"/>
        </w:rPr>
        <w:t xml:space="preserve">The Administrative Judge (“AJ”) issued an Initial Decision on July 18, 2023. She held that Employee accurately submitted his time manually into the PeopleSoft system, which was approved by his supervisor. The AJ noted that PeopleSoft automatically recorded the time for the same period that Employee submitted his time; thereby, prompting the payroll system to consider the additional time entered by Employee as overtime pay. Moreover, she determined that although Employee’s lengthy history of complying with the ETR policy proved that he was aware of how to accurately report his time, Agency failed to consider the impact that the Covid-19 Public Health Emergency had on its time recording policy. The AJ reasoned that Agency failed to prove that Employee knowingly submitted, or allowed the submission of, falsified time logs into the payroll system. Furthermore, she held that Employee did not misrepresent, falsify, or conceal material facts or records in connection with Agency’s investigation. According to the AJ, Employee offered to repay the overpayment with one $25,000 installment, followed by smaller installments.  Consequently, she concluded that Agency lacked cause to terminate Employee. As a result, she ordered that Employee be reinstated and that Agency reimburse Employee all back pay and benefits lost, </w:t>
      </w:r>
      <w:proofErr w:type="gramStart"/>
      <w:r w:rsidRPr="003C25A4">
        <w:rPr>
          <w:sz w:val="22"/>
          <w:szCs w:val="22"/>
          <w14:ligatures w14:val="none"/>
        </w:rPr>
        <w:t>less</w:t>
      </w:r>
      <w:proofErr w:type="gramEnd"/>
      <w:r w:rsidRPr="003C25A4">
        <w:rPr>
          <w:sz w:val="22"/>
          <w:szCs w:val="22"/>
          <w14:ligatures w14:val="none"/>
        </w:rPr>
        <w:t xml:space="preserve"> the overpayment amount of $53,391.66.</w:t>
      </w:r>
    </w:p>
    <w:p w14:paraId="23163063" w14:textId="77777777" w:rsidR="00B44551" w:rsidRPr="00DE5C6D" w:rsidRDefault="00B44551" w:rsidP="00B44551">
      <w:pPr>
        <w:contextualSpacing/>
        <w:jc w:val="both"/>
        <w:rPr>
          <w:sz w:val="12"/>
          <w:szCs w:val="12"/>
          <w14:ligatures w14:val="none"/>
        </w:rPr>
      </w:pPr>
    </w:p>
    <w:p w14:paraId="254B1145" w14:textId="77777777" w:rsidR="00B44551" w:rsidRPr="003C25A4" w:rsidRDefault="00B44551" w:rsidP="00DE5C6D">
      <w:pPr>
        <w:ind w:left="1620"/>
        <w:contextualSpacing/>
        <w:jc w:val="both"/>
        <w:rPr>
          <w:sz w:val="22"/>
          <w:szCs w:val="22"/>
          <w14:ligatures w14:val="none"/>
        </w:rPr>
      </w:pPr>
      <w:r w:rsidRPr="003C25A4">
        <w:rPr>
          <w:sz w:val="22"/>
          <w:szCs w:val="22"/>
          <w14:ligatures w14:val="none"/>
        </w:rPr>
        <w:t xml:space="preserve">Agency disagreed with the Initial Decision and filed a Petition for Review with the OEA Board on August 23, 2023. It contended that the AJ’s decision regarding its misrepresentation and falsification charges were based on an erroneous interpretation of the regulations and its policy. Agency claimed that its ETR policy remained the same throughout, and after, the pandemic. It further maintained that employees were required to use PeopleSoft to manually enter time when working outside of the office and could not enter time for hours worked in the office. Thus, Agency argued that the AJ incorrectly determined that Employee accurately submitted his time manually; that Agency failed to consider the impact of the pandemic on its ETR policy; and that Agency did not meet its burden of proof to establish that Employee knowingly submitted false time logs. Accordingly, it requested that the Board grant its petition because the AJ’s conclusions of law were unsupported by the record, and the decision was based on an erroneous interpretation of OEA’s regulations and Agency’s policies. </w:t>
      </w:r>
    </w:p>
    <w:p w14:paraId="4BE24C99" w14:textId="77777777" w:rsidR="00B44551" w:rsidRPr="00DE5C6D" w:rsidRDefault="00B44551" w:rsidP="00B44551">
      <w:pPr>
        <w:contextualSpacing/>
        <w:jc w:val="both"/>
        <w:rPr>
          <w:sz w:val="12"/>
          <w:szCs w:val="12"/>
          <w14:ligatures w14:val="none"/>
        </w:rPr>
      </w:pPr>
    </w:p>
    <w:p w14:paraId="43A15CD4" w14:textId="77777777" w:rsidR="00B44551" w:rsidRPr="003C25A4" w:rsidRDefault="00B44551" w:rsidP="00DE5C6D">
      <w:pPr>
        <w:ind w:left="1620"/>
        <w:contextualSpacing/>
        <w:jc w:val="both"/>
        <w:rPr>
          <w:sz w:val="22"/>
          <w:szCs w:val="22"/>
          <w14:ligatures w14:val="none"/>
        </w:rPr>
      </w:pPr>
      <w:r w:rsidRPr="003C25A4">
        <w:rPr>
          <w:sz w:val="22"/>
          <w:szCs w:val="22"/>
          <w14:ligatures w14:val="none"/>
        </w:rPr>
        <w:t xml:space="preserve">On September 27, 2023, Employee filed a Response to Agency’s Petition for Review. He opined that the AJ correctly determined that Agency failed to offer proof of his intent to falsify his time logs. Employee argued that the AJ took judicial notice that all District employees were required to use the time reporting code “STTW” while teleworking during the Covid-19 Public Health Emergency, which represented a change in policy for reporting time prior to the pandemic. Finally, he contended that Agency lacked proof that </w:t>
      </w:r>
      <w:r w:rsidRPr="003C25A4">
        <w:rPr>
          <w:sz w:val="22"/>
          <w:szCs w:val="22"/>
          <w14:ligatures w14:val="none"/>
        </w:rPr>
        <w:lastRenderedPageBreak/>
        <w:t>Employee offered inconsistent statements or concealed evidence during its investigation. Therefore, Employee requested that Agency’s Petition for Review be denied.</w:t>
      </w:r>
    </w:p>
    <w:p w14:paraId="2073034A" w14:textId="77777777" w:rsidR="00B44551" w:rsidRPr="00DE5C6D" w:rsidRDefault="00B44551" w:rsidP="00B44551">
      <w:pPr>
        <w:contextualSpacing/>
        <w:jc w:val="both"/>
        <w:rPr>
          <w:rFonts w:eastAsia="Calibri"/>
          <w:sz w:val="12"/>
          <w:szCs w:val="12"/>
        </w:rPr>
      </w:pPr>
    </w:p>
    <w:p w14:paraId="7751F24A" w14:textId="77777777" w:rsidR="00B44551" w:rsidRPr="003C25A4" w:rsidRDefault="00B44551" w:rsidP="00DE5C6D">
      <w:pPr>
        <w:ind w:left="1620"/>
        <w:contextualSpacing/>
        <w:jc w:val="both"/>
        <w:rPr>
          <w:rFonts w:eastAsia="Calibri"/>
          <w:sz w:val="22"/>
          <w:szCs w:val="22"/>
          <w14:ligatures w14:val="none"/>
        </w:rPr>
      </w:pPr>
      <w:r w:rsidRPr="003C25A4">
        <w:rPr>
          <w:rFonts w:eastAsia="Calibri"/>
          <w:sz w:val="22"/>
          <w:szCs w:val="22"/>
        </w:rPr>
        <w:t>The OEA Board found that the Initial Decision was not based on substantial evidence. Moreover, it determined that the Initial Decision did not address all material issues of fact in this case. The Board explained that although the AJ requested briefs from both parties, the briefs offered conflicting facts, and the documents submitted created more questions than answers. Thus, rendering it harder for the Board to rule that the Initial Decision was based on substantial evidence.</w:t>
      </w:r>
    </w:p>
    <w:p w14:paraId="1DC8FADE" w14:textId="77777777" w:rsidR="00B44551" w:rsidRPr="00DE5C6D" w:rsidRDefault="00B44551" w:rsidP="00B44551">
      <w:pPr>
        <w:contextualSpacing/>
        <w:jc w:val="both"/>
        <w:rPr>
          <w:rFonts w:eastAsia="Calibri"/>
          <w:sz w:val="12"/>
          <w:szCs w:val="12"/>
        </w:rPr>
      </w:pPr>
    </w:p>
    <w:p w14:paraId="424CE566" w14:textId="77777777" w:rsidR="00B44551" w:rsidRPr="003C25A4" w:rsidRDefault="00B44551" w:rsidP="00DE5C6D">
      <w:pPr>
        <w:ind w:left="1620"/>
        <w:contextualSpacing/>
        <w:jc w:val="both"/>
        <w:rPr>
          <w:rFonts w:eastAsia="Calibri"/>
          <w:sz w:val="22"/>
          <w:szCs w:val="22"/>
        </w:rPr>
      </w:pPr>
      <w:r w:rsidRPr="003C25A4">
        <w:rPr>
          <w:rFonts w:eastAsia="Calibri"/>
          <w:sz w:val="22"/>
          <w:szCs w:val="22"/>
        </w:rPr>
        <w:t xml:space="preserve">The Board also held that the parties’ positions regarding time reporting pre-pandemic, during the pandemic, and after the pandemic contradicted each other. As it related to the misrepresentation, falsification, or concealment of material facts in connection with an investigation, the Board held that a review of Agency’s investigation offered evidence of Employee being evasive or providing no response to several questions. It further opined that Employee seemed to concede that he refused to answer questions during the investigation because he felt that the investigator was “badgering” him. </w:t>
      </w:r>
      <w:r w:rsidRPr="003C25A4">
        <w:rPr>
          <w:rFonts w:eastAsia="Calibri"/>
          <w:sz w:val="22"/>
          <w:szCs w:val="22"/>
          <w14:ligatures w14:val="none"/>
        </w:rPr>
        <w:t xml:space="preserve">Accordingly, the Board remanded the case to </w:t>
      </w:r>
      <w:r w:rsidRPr="003C25A4">
        <w:rPr>
          <w:rFonts w:eastAsia="Calibri"/>
          <w:sz w:val="22"/>
          <w:szCs w:val="22"/>
        </w:rPr>
        <w:t xml:space="preserve">the AJ to adequately address the material issues of facts in dispute.  </w:t>
      </w:r>
    </w:p>
    <w:p w14:paraId="1B09503A" w14:textId="77777777" w:rsidR="00B44551" w:rsidRPr="00DE5C6D" w:rsidRDefault="00B44551" w:rsidP="00B44551">
      <w:pPr>
        <w:contextualSpacing/>
        <w:jc w:val="both"/>
        <w:rPr>
          <w:rFonts w:eastAsia="Calibri"/>
          <w:sz w:val="12"/>
          <w:szCs w:val="12"/>
        </w:rPr>
      </w:pPr>
    </w:p>
    <w:p w14:paraId="4F577033" w14:textId="77777777" w:rsidR="00B44551" w:rsidRPr="003C25A4" w:rsidRDefault="00B44551" w:rsidP="00DE5C6D">
      <w:pPr>
        <w:ind w:left="1620"/>
        <w:contextualSpacing/>
        <w:jc w:val="both"/>
        <w:rPr>
          <w:rFonts w:eastAsia="Calibri"/>
          <w:sz w:val="22"/>
          <w:szCs w:val="22"/>
        </w:rPr>
      </w:pPr>
      <w:r w:rsidRPr="003C25A4">
        <w:rPr>
          <w:rFonts w:eastAsia="Calibri"/>
          <w:sz w:val="22"/>
          <w:szCs w:val="22"/>
        </w:rPr>
        <w:t>On September 23, 2024, the AJ issued an Initial Decision on Remand. She determined that Agency’s ETR time entry procedure did not change during or after the pandemic. Accordingly, she held that Employee violated the time entry policy and should have allowed the system to automatically enter eight hours of regular pay instead of manually entering the hours himself, which resulted in the overtime payments. However, she found that there was no evidence that Employee knowingly supplied incorrect information with the intention of defrauding, deceiving, or misleading Agency and that he provided a plausible explanation to negate an intent to deceive or mislead Agency. Moreover, the AJ opined that Employee had a duty to answer questions during the investigation, and she found that Employee did not answer the questions or found his answers to be evasive. However, she ruled that Employee’s responses were not intended to defraud or mislead Agency for his own private gain. Accordingly, she again reversed Agency’s termination action and ordered that Employee be reinstated with backpay, less the $53,391.66 overpayment.</w:t>
      </w:r>
    </w:p>
    <w:p w14:paraId="68783808" w14:textId="77777777" w:rsidR="00B44551" w:rsidRPr="00DE5C6D" w:rsidRDefault="00B44551" w:rsidP="00B44551">
      <w:pPr>
        <w:contextualSpacing/>
        <w:jc w:val="both"/>
        <w:rPr>
          <w:rFonts w:eastAsia="Calibri"/>
          <w:sz w:val="12"/>
          <w:szCs w:val="12"/>
        </w:rPr>
      </w:pPr>
    </w:p>
    <w:p w14:paraId="670A6D23" w14:textId="77777777" w:rsidR="00B44551" w:rsidRPr="003C25A4" w:rsidRDefault="00B44551" w:rsidP="00DE5C6D">
      <w:pPr>
        <w:ind w:left="1620"/>
        <w:contextualSpacing/>
        <w:jc w:val="both"/>
        <w:rPr>
          <w:rFonts w:eastAsia="Calibri"/>
          <w:sz w:val="22"/>
          <w:szCs w:val="22"/>
        </w:rPr>
      </w:pPr>
      <w:r w:rsidRPr="003C25A4">
        <w:rPr>
          <w:rFonts w:eastAsia="Calibri"/>
          <w:sz w:val="22"/>
          <w:szCs w:val="22"/>
        </w:rPr>
        <w:t xml:space="preserve">Agency disagreed and filed another Petition for Review on October 28, 2024. It argued that the AJ erroneously interpreted the law applicable to Employee’s violation of DCMR § 1607.2(b)(2) by insisting that there be an intent to defraud, deceive, or mislead Agency for a private material gain. As for the misrepresentation, falsification, or concealment charge, Agency opined that although the AJ found that Employe had a duty to cooperate with the investigation and failed to do so, she, again, erroneously relied on the intent to defraud, deceive, or mislead for private material gain element. According to Agency, this is a higher burden and should not have been imposed. Therefore, it requested that the OEA Board reverse the Initial Decision on Remand. </w:t>
      </w:r>
    </w:p>
    <w:p w14:paraId="1609B694" w14:textId="77777777" w:rsidR="00B44551" w:rsidRPr="00DE5C6D" w:rsidRDefault="00B44551" w:rsidP="00B44551">
      <w:pPr>
        <w:contextualSpacing/>
        <w:jc w:val="both"/>
        <w:rPr>
          <w:rFonts w:eastAsia="Calibri"/>
          <w:sz w:val="12"/>
          <w:szCs w:val="12"/>
        </w:rPr>
      </w:pPr>
    </w:p>
    <w:p w14:paraId="0DADFD99" w14:textId="77777777" w:rsidR="00B44551" w:rsidRPr="003C25A4" w:rsidRDefault="00B44551" w:rsidP="00DE5C6D">
      <w:pPr>
        <w:ind w:left="1620"/>
        <w:contextualSpacing/>
        <w:jc w:val="both"/>
        <w:rPr>
          <w:rFonts w:eastAsia="Calibri"/>
          <w:sz w:val="22"/>
          <w:szCs w:val="22"/>
        </w:rPr>
      </w:pPr>
      <w:r w:rsidRPr="003C25A4">
        <w:rPr>
          <w:rFonts w:eastAsia="Calibri"/>
          <w:sz w:val="22"/>
          <w:szCs w:val="22"/>
        </w:rPr>
        <w:t xml:space="preserve">On December 9, 2024, Employee filed his response to Agency’s Petition for Review and argued that while DCMR § 1607.2(b)(2) does not explicitly provide a private material gain requirement, it does not mean that it cannot be imputed to the requirements for proving the charge. Thus, according to Employee this is not a basis for reversing the Initial Decision on Remand. He also asserted that he did not have the requisite intent and that there was a lack of rebuttal witnesses who could have contradicted his version of events.  Therefore, Employee requested that the Petition for Review be denied.  </w:t>
      </w:r>
    </w:p>
    <w:p w14:paraId="66E6820A" w14:textId="77777777" w:rsidR="00B44551" w:rsidRPr="00DE5C6D" w:rsidRDefault="00B44551" w:rsidP="00B44551">
      <w:pPr>
        <w:contextualSpacing/>
        <w:jc w:val="both"/>
        <w:rPr>
          <w:rFonts w:eastAsia="Calibri"/>
          <w:sz w:val="12"/>
          <w:szCs w:val="12"/>
        </w:rPr>
      </w:pPr>
    </w:p>
    <w:p w14:paraId="3417A0F6" w14:textId="77777777" w:rsidR="00B44551" w:rsidRPr="003C25A4" w:rsidRDefault="00B44551" w:rsidP="00DE5C6D">
      <w:pPr>
        <w:ind w:left="1620"/>
        <w:contextualSpacing/>
        <w:jc w:val="both"/>
        <w:rPr>
          <w:rFonts w:eastAsia="Calibri"/>
          <w:sz w:val="22"/>
          <w:szCs w:val="22"/>
        </w:rPr>
      </w:pPr>
      <w:r w:rsidRPr="003C25A4">
        <w:rPr>
          <w:rFonts w:eastAsia="Calibri"/>
          <w:sz w:val="22"/>
          <w:szCs w:val="22"/>
        </w:rPr>
        <w:lastRenderedPageBreak/>
        <w:t>The OEA Board issued its Second Opinion and Order on Petition for Review. It found that the Initial Decision on Remand was not based on substantial evidence. The Board held that the AJ erred in holding that Agency must prove by preponderance of evidence that Employee knowingly supplied incorrect information with the intent of defrauding, deceiving, or misleading Agency. Additionally, it opined that although the AJ found that Employee’s time entry reporting was plausible, the AJ’s analysis was based on the incorrect DCMR subsections. Moreover, the Board held that historically, OEA Administrative Judges have correctly relied on an analysis that did not include the private material gain requirement. Therefore, the Board remanded the matter for the AJ to consider the merits of the case while applying the applicable regulations and case law.</w:t>
      </w:r>
    </w:p>
    <w:p w14:paraId="0986C35B" w14:textId="77777777" w:rsidR="00B44551" w:rsidRPr="00DE5C6D" w:rsidRDefault="00B44551" w:rsidP="00B44551">
      <w:pPr>
        <w:contextualSpacing/>
        <w:jc w:val="both"/>
        <w:rPr>
          <w:rFonts w:eastAsia="Calibri"/>
          <w:sz w:val="12"/>
          <w:szCs w:val="12"/>
        </w:rPr>
      </w:pPr>
    </w:p>
    <w:p w14:paraId="12012033" w14:textId="77777777" w:rsidR="00B44551" w:rsidRPr="003C25A4" w:rsidRDefault="00B44551" w:rsidP="00DE5C6D">
      <w:pPr>
        <w:ind w:left="1620"/>
        <w:contextualSpacing/>
        <w:jc w:val="both"/>
        <w:rPr>
          <w:rFonts w:eastAsia="Calibri"/>
          <w:sz w:val="22"/>
          <w:szCs w:val="22"/>
        </w:rPr>
      </w:pPr>
      <w:r w:rsidRPr="003C25A4">
        <w:rPr>
          <w:rFonts w:eastAsia="Calibri"/>
          <w:sz w:val="22"/>
          <w:szCs w:val="22"/>
        </w:rPr>
        <w:t>On June 11, 2025, the AJ issued her Second Initial Decision on Remand.  She held that the record is void of any evidence to suggest that Employee knowingly submitted false time logs for hours not worked.  According to the AJ, knowingly is defined as “an attempt to commit fraud” pursuant to the Black’s Law Dictionary (12</w:t>
      </w:r>
      <w:r w:rsidRPr="003C25A4">
        <w:rPr>
          <w:rFonts w:eastAsia="Calibri"/>
          <w:sz w:val="22"/>
          <w:szCs w:val="22"/>
          <w:vertAlign w:val="superscript"/>
        </w:rPr>
        <w:t>th</w:t>
      </w:r>
      <w:r w:rsidRPr="003C25A4">
        <w:rPr>
          <w:rFonts w:eastAsia="Calibri"/>
          <w:sz w:val="22"/>
          <w:szCs w:val="22"/>
        </w:rPr>
        <w:t xml:space="preserve"> ed. 2024). The AJ further found that Employee did not deliberately enter his time incorrectly and therefore, was not in violation of 6-B DCMR § 1607.2(c)(1). Additionally, she conceded that Employee’s answers during the August 1, 2022, video interview appeared evasive and that he failed to respond to some questions.</w:t>
      </w:r>
      <w:r>
        <w:rPr>
          <w:rFonts w:eastAsia="Calibri"/>
          <w:sz w:val="22"/>
          <w:szCs w:val="22"/>
        </w:rPr>
        <w:t xml:space="preserve"> </w:t>
      </w:r>
      <w:r w:rsidRPr="003C25A4">
        <w:rPr>
          <w:rFonts w:eastAsia="Calibri"/>
          <w:sz w:val="22"/>
          <w:szCs w:val="22"/>
        </w:rPr>
        <w:t>The AJ concluded that pursuant to 6-B DCMR § 1607.2(b)(2), his responses were not intended to mislead, misrepresent, conceal, or falsify material facts in connection with the investigation. She also determined that Employee’s answers were consistent and that his refusal to answer repeated questions was valid, as he felt badgered. Finally, the AJ ruled that Agency lacked cause for its adverse action against Employee. Consequently, she reversed Agency’s termination action and ordered that Employee be reinstated with backpay, less the $53,391.66 overpayment.</w:t>
      </w:r>
    </w:p>
    <w:p w14:paraId="503D0976" w14:textId="77777777" w:rsidR="00B44551" w:rsidRPr="00DE5C6D" w:rsidRDefault="00B44551" w:rsidP="00B44551">
      <w:pPr>
        <w:contextualSpacing/>
        <w:jc w:val="both"/>
        <w:rPr>
          <w:rFonts w:eastAsia="Calibri"/>
          <w:sz w:val="12"/>
          <w:szCs w:val="12"/>
        </w:rPr>
      </w:pPr>
    </w:p>
    <w:p w14:paraId="50A0D1E7" w14:textId="07B3009C" w:rsidR="00B44551" w:rsidRPr="003C25A4" w:rsidRDefault="00B44551" w:rsidP="00DE5C6D">
      <w:pPr>
        <w:ind w:left="1620"/>
        <w:contextualSpacing/>
        <w:jc w:val="both"/>
        <w:rPr>
          <w:rFonts w:eastAsia="Calibri"/>
          <w:sz w:val="22"/>
          <w:szCs w:val="22"/>
        </w:rPr>
      </w:pPr>
      <w:r w:rsidRPr="003C25A4">
        <w:rPr>
          <w:rFonts w:eastAsia="Calibri"/>
          <w:sz w:val="22"/>
          <w:szCs w:val="22"/>
        </w:rPr>
        <w:t>Agency disagreed with the Second Initial Decision on Remand and filed a Petition for Review on July 16, 2025. It contends that the AJ’s findings regarding the 6-B DCMR §§ 1607.2 (c)(1) and 1607.2(b)(2) charges are based on erroneous interpretations of law and lack substantial evidence. Agency further asserts that the AJ improperly modified the factual findings of the Second Initial Decision on Remand. It argues that the AJ applied the incorrect definition of “knowing” derived from a non-binding source, Black’s Law Dictionary, and misrepresented</w:t>
      </w:r>
      <w:r w:rsidR="00A822DE">
        <w:rPr>
          <w:rFonts w:eastAsia="Calibri"/>
          <w:sz w:val="22"/>
          <w:szCs w:val="22"/>
        </w:rPr>
        <w:t xml:space="preserve"> </w:t>
      </w:r>
      <w:r w:rsidRPr="003C25A4">
        <w:rPr>
          <w:rFonts w:eastAsia="Calibri"/>
          <w:sz w:val="22"/>
          <w:szCs w:val="22"/>
        </w:rPr>
        <w:t>that definition. Accordingly, Agency requests that the OEA Board reverse the Second Initial Decision on Remand, or if further proceedings are necessary, reassign the matter to an impartial Administrative Judge</w:t>
      </w:r>
      <w:r>
        <w:rPr>
          <w:rFonts w:eastAsia="Calibri"/>
          <w:sz w:val="22"/>
          <w:szCs w:val="22"/>
        </w:rPr>
        <w:t>.</w:t>
      </w:r>
    </w:p>
    <w:p w14:paraId="44A1632F" w14:textId="77777777" w:rsidR="00B44551" w:rsidRPr="004B4AF9" w:rsidRDefault="00B44551" w:rsidP="00B44551">
      <w:pPr>
        <w:contextualSpacing/>
        <w:jc w:val="both"/>
        <w:rPr>
          <w:rFonts w:eastAsia="Calibri"/>
          <w:sz w:val="12"/>
          <w:szCs w:val="12"/>
        </w:rPr>
      </w:pPr>
    </w:p>
    <w:p w14:paraId="7E66DADC" w14:textId="77777777" w:rsidR="00B44551" w:rsidRPr="003C25A4" w:rsidRDefault="00B44551" w:rsidP="00DE5C6D">
      <w:pPr>
        <w:ind w:left="1620"/>
        <w:contextualSpacing/>
        <w:jc w:val="both"/>
        <w:rPr>
          <w:rFonts w:eastAsia="Calibri"/>
          <w:sz w:val="22"/>
          <w:szCs w:val="22"/>
        </w:rPr>
      </w:pPr>
      <w:r w:rsidRPr="003C25A4">
        <w:rPr>
          <w:rFonts w:eastAsia="Calibri"/>
          <w:sz w:val="22"/>
          <w:szCs w:val="22"/>
        </w:rPr>
        <w:t>On August 21, 2025, Employee filed his Response to Agency’s Petition for Review. He argues that the AJ neither erred nor exceeded her authority in referencing 6-B DCMR §§ 1607.2 (c)(1) and 1607.2(b)(2), in the Second Initial Decision on Remand. Employee maintains that the AJ’s interpretation of the term “knowingly” was supported by substantial evidence and complied with the Board’s remand instructions.  He also asserts that the AJ acted within her discretion in concluding that Agency failed to meet its burden of proof.  As a result, Employee requests that Agency’s Petition for Review be denied.</w:t>
      </w:r>
    </w:p>
    <w:p w14:paraId="7142A9F2" w14:textId="77777777" w:rsidR="00DF649F" w:rsidRPr="004B4AF9" w:rsidRDefault="00DF649F" w:rsidP="00DF649F">
      <w:pPr>
        <w:rPr>
          <w:sz w:val="12"/>
          <w:szCs w:val="12"/>
        </w:rPr>
      </w:pPr>
    </w:p>
    <w:p w14:paraId="149D359E" w14:textId="755677BD" w:rsidR="00470A98" w:rsidRPr="003C25A4" w:rsidRDefault="00653F97" w:rsidP="00470A98">
      <w:pPr>
        <w:pStyle w:val="ListParagraph"/>
        <w:numPr>
          <w:ilvl w:val="2"/>
          <w:numId w:val="1"/>
        </w:numPr>
        <w:spacing w:after="160"/>
        <w:jc w:val="both"/>
        <w:rPr>
          <w:sz w:val="22"/>
          <w:szCs w:val="22"/>
        </w:rPr>
      </w:pPr>
      <w:r w:rsidRPr="00470A98">
        <w:rPr>
          <w:b/>
          <w:bCs/>
        </w:rPr>
        <w:t xml:space="preserve">Employee v. </w:t>
      </w:r>
      <w:r w:rsidR="006A1883" w:rsidRPr="00470A98">
        <w:rPr>
          <w:b/>
          <w:bCs/>
        </w:rPr>
        <w:t>D.C. Department of For-Hire Vehicles, OEA Matter No. J-0013-24</w:t>
      </w:r>
      <w:r w:rsidR="006A1883">
        <w:t xml:space="preserve"> —</w:t>
      </w:r>
      <w:r w:rsidR="00470A98">
        <w:t xml:space="preserve"> </w:t>
      </w:r>
      <w:r w:rsidR="00470A98" w:rsidRPr="003C25A4">
        <w:rPr>
          <w:sz w:val="22"/>
          <w:szCs w:val="22"/>
        </w:rPr>
        <w:t>Employee worked as a Vehicle Inspection Officer with the D.C. Department of For-Hire Vehicles (“Agency”). On November 20, 2023, Agency issued a notice terminating Employee from her position.  According to Agency, Employee was placed on administrative leave on November 20, 2023. The effective date of Employee’s removal was December 4, 2023.</w:t>
      </w:r>
    </w:p>
    <w:p w14:paraId="28F29783" w14:textId="38DA6312" w:rsidR="00470A98" w:rsidRPr="003C25A4" w:rsidRDefault="00470A98" w:rsidP="00470A98">
      <w:pPr>
        <w:spacing w:after="160"/>
        <w:ind w:left="1620"/>
        <w:contextualSpacing/>
        <w:jc w:val="both"/>
        <w:rPr>
          <w:sz w:val="22"/>
          <w:szCs w:val="22"/>
        </w:rPr>
      </w:pPr>
      <w:r w:rsidRPr="003C25A4">
        <w:rPr>
          <w:sz w:val="22"/>
          <w:szCs w:val="22"/>
        </w:rPr>
        <w:t xml:space="preserve">Employee filed a Petition for Appeal with the Office of Employee Appeals (“OEA”) on </w:t>
      </w:r>
      <w:r w:rsidRPr="003C25A4">
        <w:rPr>
          <w:sz w:val="22"/>
          <w:szCs w:val="22"/>
        </w:rPr>
        <w:lastRenderedPageBreak/>
        <w:t>December 4, 2023. She argued that she was in a Career Permanent status, not a probationary status, at the time of termination. Employee contended that she was hired with Agency on October 9, 2022, and her probationary status concluded on October 9, 2023. Thus, she asserted that she was a Career Service employee at the time of termination. Accordingly, she requested that she be reinstated to her position.</w:t>
      </w:r>
    </w:p>
    <w:p w14:paraId="7DAB5287" w14:textId="77777777" w:rsidR="00470A98" w:rsidRPr="00922BE2" w:rsidRDefault="00470A98" w:rsidP="00470A98">
      <w:pPr>
        <w:contextualSpacing/>
        <w:jc w:val="both"/>
        <w:rPr>
          <w:sz w:val="12"/>
          <w:szCs w:val="12"/>
        </w:rPr>
      </w:pPr>
    </w:p>
    <w:p w14:paraId="308A125C" w14:textId="77777777" w:rsidR="00470A98" w:rsidRPr="003C25A4" w:rsidRDefault="00470A98" w:rsidP="00470A98">
      <w:pPr>
        <w:widowControl/>
        <w:spacing w:after="160"/>
        <w:ind w:left="1620"/>
        <w:contextualSpacing/>
        <w:jc w:val="both"/>
        <w:rPr>
          <w:sz w:val="22"/>
          <w:szCs w:val="22"/>
        </w:rPr>
      </w:pPr>
      <w:r w:rsidRPr="003C25A4">
        <w:rPr>
          <w:sz w:val="22"/>
          <w:szCs w:val="22"/>
        </w:rPr>
        <w:t xml:space="preserve">On January 3, 2024, Agency filed its response to Employee’s Petition for Appeal.  It argued that Employee’s probationary period was extended because she used 310 hours of Paid Family Leave (“PFL”). Agency explained that Employee’s original one-year probationary period was set to expire on October 9, 2023; however, pursuant to District Personnel Manual (“DPM”) §§ 225.5 and 1286.9, her probationary period was extended by the duration of the paid family leave. As a result, it argued that Employee was still within her probationary period at the time of her termination. Accordingly, Agency opined that OEA lacked jurisdiction over the appeal and requested that the matter be dismissed. </w:t>
      </w:r>
    </w:p>
    <w:p w14:paraId="3BEF1D14" w14:textId="77777777" w:rsidR="00470A98" w:rsidRPr="00922BE2" w:rsidRDefault="00470A98" w:rsidP="00470A98">
      <w:pPr>
        <w:contextualSpacing/>
        <w:jc w:val="both"/>
        <w:rPr>
          <w:sz w:val="12"/>
          <w:szCs w:val="12"/>
        </w:rPr>
      </w:pPr>
    </w:p>
    <w:p w14:paraId="5F3B50F2" w14:textId="77777777" w:rsidR="00470A98" w:rsidRPr="003C25A4" w:rsidRDefault="00470A98" w:rsidP="00470A98">
      <w:pPr>
        <w:widowControl/>
        <w:spacing w:after="160"/>
        <w:ind w:left="1620"/>
        <w:contextualSpacing/>
        <w:jc w:val="both"/>
        <w:rPr>
          <w:sz w:val="22"/>
          <w:szCs w:val="22"/>
        </w:rPr>
      </w:pPr>
      <w:r w:rsidRPr="003C25A4">
        <w:rPr>
          <w:sz w:val="22"/>
          <w:szCs w:val="22"/>
        </w:rPr>
        <w:t>Before the OEA Administrative Judge (“AJ”) issued her Initial Decision, she requested that the parties submit briefs on whether Employee’s appeal should be dismissed for lack of jurisdiction. In her brief, Employee argued that her employment contract specified a one-year probationary period, set to conclude on October 9, 2023. During her tenure, she applied for PFL and contended that in accordance with DPM §§ 224.3 and 1286.9, a probationary employee who applies for PFL is required to enter into a one-year Continuation of Service Agreement. Employee asserted that this agreement must be signed by the employee to receive PFL hours and that it extends the probationary period based on the amount of PFL hours</w:t>
      </w:r>
      <w:r w:rsidRPr="003C25A4">
        <w:rPr>
          <w:b/>
          <w:bCs/>
          <w:sz w:val="22"/>
          <w:szCs w:val="22"/>
        </w:rPr>
        <w:t xml:space="preserve"> </w:t>
      </w:r>
      <w:r w:rsidRPr="003C25A4">
        <w:rPr>
          <w:sz w:val="22"/>
          <w:szCs w:val="22"/>
        </w:rPr>
        <w:t>used. She further contended that she was not serving a probationary period at the time of her termination and was, therefore, entitled to the rights and protections of a Career Service employee.</w:t>
      </w:r>
    </w:p>
    <w:p w14:paraId="019D351A" w14:textId="77777777" w:rsidR="00470A98" w:rsidRPr="00922BE2" w:rsidRDefault="00470A98" w:rsidP="00470A98">
      <w:pPr>
        <w:contextualSpacing/>
        <w:jc w:val="both"/>
        <w:rPr>
          <w:sz w:val="12"/>
          <w:szCs w:val="12"/>
        </w:rPr>
      </w:pPr>
    </w:p>
    <w:p w14:paraId="070ACA1D" w14:textId="77777777" w:rsidR="00470A98" w:rsidRPr="003C25A4" w:rsidRDefault="00470A98" w:rsidP="00470A98">
      <w:pPr>
        <w:widowControl/>
        <w:spacing w:after="160"/>
        <w:ind w:left="1620"/>
        <w:contextualSpacing/>
        <w:jc w:val="both"/>
        <w:rPr>
          <w:sz w:val="22"/>
          <w:szCs w:val="22"/>
        </w:rPr>
      </w:pPr>
      <w:r w:rsidRPr="003C25A4">
        <w:rPr>
          <w:sz w:val="22"/>
          <w:szCs w:val="22"/>
        </w:rPr>
        <w:t>In its brief, Agency asserted that OEA lacked jurisdiction over probationary employees. It argued that Employee was designated as a probationary employee because her probationary period was automatically extended when she took PFL to care for a family member. Further, Agency opined that Employee was not entitled to notice because DPM § 225 does not mandate that any notice be given as to the extensions or completion of probationary periods.</w:t>
      </w:r>
    </w:p>
    <w:p w14:paraId="43F87FB2" w14:textId="77777777" w:rsidR="00470A98" w:rsidRPr="00922BE2" w:rsidRDefault="00470A98" w:rsidP="00470A98">
      <w:pPr>
        <w:contextualSpacing/>
        <w:jc w:val="both"/>
        <w:rPr>
          <w:sz w:val="12"/>
          <w:szCs w:val="12"/>
        </w:rPr>
      </w:pPr>
    </w:p>
    <w:p w14:paraId="2F47A7BE" w14:textId="77777777" w:rsidR="00470A98" w:rsidRPr="003C25A4" w:rsidRDefault="00470A98" w:rsidP="00470A98">
      <w:pPr>
        <w:widowControl/>
        <w:spacing w:after="160"/>
        <w:ind w:left="1620"/>
        <w:contextualSpacing/>
        <w:jc w:val="both"/>
        <w:rPr>
          <w:sz w:val="22"/>
          <w:szCs w:val="22"/>
        </w:rPr>
      </w:pPr>
      <w:r w:rsidRPr="003C25A4">
        <w:rPr>
          <w:sz w:val="22"/>
          <w:szCs w:val="22"/>
        </w:rPr>
        <w:t>Agency contended that D.C. Human Resources (“DCHR”) published formal guidance on probationary periods through Issuance I-2021-33. It is Agency’s position that an agency cannot observe an employee’s job readiness for a permanent position when an employee is on PFL, so DCHR has made clear that workdays for which an employee used PFL do not count toward the completion of the probationary period. Further, Agency noted that the use of the PFL added over seven weeks to her probationary period.  Thus, it determined that Employee’s probationary period ended no earlier than November 27, 2023. As a result, Agency requested that Employee’s appeal be dismissed.</w:t>
      </w:r>
    </w:p>
    <w:p w14:paraId="6AFAFE89" w14:textId="77777777" w:rsidR="00470A98" w:rsidRPr="00846659" w:rsidRDefault="00470A98" w:rsidP="00470A98">
      <w:pPr>
        <w:contextualSpacing/>
        <w:jc w:val="both"/>
        <w:rPr>
          <w:sz w:val="12"/>
          <w:szCs w:val="12"/>
        </w:rPr>
      </w:pPr>
    </w:p>
    <w:p w14:paraId="3A03B7CB" w14:textId="77777777" w:rsidR="00470A98" w:rsidRPr="003C25A4" w:rsidRDefault="00470A98" w:rsidP="00470A98">
      <w:pPr>
        <w:widowControl/>
        <w:spacing w:after="160"/>
        <w:ind w:left="1620"/>
        <w:contextualSpacing/>
        <w:jc w:val="both"/>
        <w:rPr>
          <w:sz w:val="22"/>
          <w:szCs w:val="22"/>
        </w:rPr>
      </w:pPr>
      <w:r w:rsidRPr="003C25A4">
        <w:rPr>
          <w:sz w:val="22"/>
          <w:szCs w:val="22"/>
        </w:rPr>
        <w:t xml:space="preserve">On July 1, 2025, the AJ issued her Initial Decision. She agreed with Agency and held that Employee was required to complete a new probationary period when she accepted the Vehicle Inspection Officer position. The AJ reasoned that Employee’s position with Agency had a different licensure, certification, or other similar requirement as provided in DPM § 226.2(c) compared to her previous position as a Correctional Officer. Additionally, the AJ found that Employee was still in a probationary status as of her effective date of termination, December 4, 2023. She found that Employee was hired on October 9, 2022, and was subject to a one-year probationary period and her probationary period was set to conclude on or around October 9, 2023. However, in May of 2023, </w:t>
      </w:r>
      <w:r w:rsidRPr="003C25A4">
        <w:rPr>
          <w:sz w:val="22"/>
          <w:szCs w:val="22"/>
        </w:rPr>
        <w:lastRenderedPageBreak/>
        <w:t>Employee was granted PFL and ultimately used 310 hours of PFL between June 2023 and November 2023. The AJ opined that Employee’s work schedule and calculation of PFL hours extended her probationary period by the length of the paid family leave, pursuant to DPM § 225.5. Moreover, she agreed that DCHR Issuance I-2021-33 provided further guidance and clarified that any administrative leave provided prior to termination does not count toward the completion of the probationary period. The AJ determined that use of administrative leave from November 20, 2023, to December 4, 2023, had the effect of tolling the calculation of days towards Employee’s probationary period, and extended her period beyond November 29, 2023.</w:t>
      </w:r>
    </w:p>
    <w:p w14:paraId="3BAEC17C" w14:textId="77777777" w:rsidR="00470A98" w:rsidRPr="00846659" w:rsidRDefault="00470A98" w:rsidP="00470A98">
      <w:pPr>
        <w:contextualSpacing/>
        <w:jc w:val="both"/>
        <w:rPr>
          <w:sz w:val="12"/>
          <w:szCs w:val="12"/>
        </w:rPr>
      </w:pPr>
    </w:p>
    <w:p w14:paraId="3A418A9D" w14:textId="77777777" w:rsidR="00470A98" w:rsidRPr="003C25A4" w:rsidRDefault="00470A98" w:rsidP="00470A98">
      <w:pPr>
        <w:widowControl/>
        <w:spacing w:after="160"/>
        <w:ind w:left="1620"/>
        <w:contextualSpacing/>
        <w:jc w:val="both"/>
        <w:rPr>
          <w:sz w:val="22"/>
          <w:szCs w:val="22"/>
        </w:rPr>
      </w:pPr>
      <w:r w:rsidRPr="003C25A4">
        <w:rPr>
          <w:sz w:val="22"/>
          <w:szCs w:val="22"/>
        </w:rPr>
        <w:t>Employee filed a Petition for Review with the OEA Board on July 25, 2025. She argues that the AJ’s decision was not supported by substantial evidence because she improperly relied on DPM § 226.2(c) instead of considering DPM § 814.3, which provides that an employee who successfully serves a probationary period during an initial appointment is not required to serve another probationary period.  Employee also asserts that the AJ failed to hold an evidentiary hearing.</w:t>
      </w:r>
      <w:r>
        <w:rPr>
          <w:sz w:val="22"/>
          <w:szCs w:val="22"/>
        </w:rPr>
        <w:t xml:space="preserve"> </w:t>
      </w:r>
      <w:r w:rsidRPr="003C25A4">
        <w:rPr>
          <w:sz w:val="22"/>
          <w:szCs w:val="22"/>
        </w:rPr>
        <w:t>Therefore, she requests that the Initial Decision be reversed; that she be reinstated with full back pay and benefits; and that the adverse action be removed from her personnel file.</w:t>
      </w:r>
    </w:p>
    <w:p w14:paraId="7F6F7755" w14:textId="77777777" w:rsidR="00470A98" w:rsidRPr="00846659" w:rsidRDefault="00470A98" w:rsidP="00470A98">
      <w:pPr>
        <w:contextualSpacing/>
        <w:jc w:val="both"/>
        <w:rPr>
          <w:sz w:val="12"/>
          <w:szCs w:val="12"/>
        </w:rPr>
      </w:pPr>
    </w:p>
    <w:p w14:paraId="7241F0F6" w14:textId="77777777" w:rsidR="00470A98" w:rsidRPr="003C25A4" w:rsidRDefault="00470A98" w:rsidP="00470A98">
      <w:pPr>
        <w:widowControl/>
        <w:spacing w:after="160"/>
        <w:ind w:left="1620"/>
        <w:contextualSpacing/>
        <w:jc w:val="both"/>
        <w:rPr>
          <w:sz w:val="22"/>
          <w:szCs w:val="22"/>
        </w:rPr>
      </w:pPr>
      <w:r w:rsidRPr="003C25A4">
        <w:rPr>
          <w:sz w:val="22"/>
          <w:szCs w:val="22"/>
        </w:rPr>
        <w:t>On August 20, 2025, Agency filed its response to Employee’s Petition for Review. It argues that the AJ correctly relied on DPM § 226 and determined that OEA does not have jurisdiction over probationary employees. Agency asserts that Employee was on notice of her need to serve a new probationary period.  Additionally, it notes that pursuant to a 2021 rulemaking, DPM § 814 was repealed. As a result, Agency opines that the AJ’s legal conclusion that the two positions, Vehicle Inspection Officer and the Correctional Officer, had substantially different qualifications and are classified as a different line of work is accurate. Accordingly, it requests that Employee’s Petition for Review be denied.</w:t>
      </w:r>
    </w:p>
    <w:p w14:paraId="51BF814E" w14:textId="038187D6" w:rsidR="00BF5922" w:rsidRPr="00BF5922" w:rsidRDefault="00BF5922" w:rsidP="00BF5922">
      <w:pPr>
        <w:pStyle w:val="ListParagraph"/>
        <w:numPr>
          <w:ilvl w:val="2"/>
          <w:numId w:val="1"/>
        </w:numPr>
        <w:jc w:val="both"/>
        <w:rPr>
          <w:sz w:val="22"/>
          <w:szCs w:val="22"/>
        </w:rPr>
      </w:pPr>
      <w:r w:rsidRPr="00BF5922">
        <w:rPr>
          <w:b/>
          <w:bCs/>
          <w:sz w:val="22"/>
          <w:szCs w:val="22"/>
        </w:rPr>
        <w:t>Employee v. Metropolitan Police Department, OEA Matter No. 1601-0061-23—</w:t>
      </w:r>
      <w:r w:rsidRPr="00BF5922">
        <w:rPr>
          <w:sz w:val="22"/>
          <w:szCs w:val="22"/>
        </w:rPr>
        <w:t>Employee worked as a Police Officer with the Metropolitan Police Department (“Agency”). On September 26, 2022, Agency issued an Advance Notice of Proposed Adverse Action to Employee, charging him with violation of General Order Series 120.21, Attachment A, Part A-7 (any act constituting a crime), Part #12 (conduct unbecoming an officer), and Part A-16 (fraud in securing employment). Agency’s notice alleged that Employee choked and threatened to kill his romantic partner, K.H.; assaulted K.H.’s minor son, R.J.; and issued verbal threats to K.H. in the presence of her children. Additionally, Agency asserted that Employee knowingly provided false responses on his Personal History Statement (“PHS”) that was completed as part of his reinstatement process. On May 4, 2023, an evidentiary hearing was held before Agency’s Adverse Action Panel. On June 1, 2023, the Panel found Employee guilty of all three charges. His termination became effective on August 1, 2023.</w:t>
      </w:r>
    </w:p>
    <w:p w14:paraId="43688916" w14:textId="77777777" w:rsidR="00D17CFD" w:rsidRPr="007124A1" w:rsidRDefault="00D17CFD" w:rsidP="00BF5922">
      <w:pPr>
        <w:ind w:firstLine="720"/>
        <w:contextualSpacing/>
        <w:jc w:val="both"/>
        <w:rPr>
          <w:sz w:val="12"/>
          <w:szCs w:val="12"/>
        </w:rPr>
      </w:pPr>
    </w:p>
    <w:p w14:paraId="3AD07603" w14:textId="55CD5B94" w:rsidR="00BF5922" w:rsidRPr="00BF5922" w:rsidRDefault="00BF5922" w:rsidP="00D17CFD">
      <w:pPr>
        <w:ind w:left="1620"/>
        <w:contextualSpacing/>
        <w:jc w:val="both"/>
        <w:rPr>
          <w:sz w:val="22"/>
          <w:szCs w:val="22"/>
        </w:rPr>
      </w:pPr>
      <w:r w:rsidRPr="00BF5922">
        <w:rPr>
          <w:sz w:val="22"/>
          <w:szCs w:val="22"/>
        </w:rPr>
        <w:t xml:space="preserve">On August 25, 2023, Employee filed a Petition for Appeal with the Office of Employee Appeals (“OEA”). He argued that Agency’s termination action was arbitrary, capricious, and unsupported by substantial evidence. Employee also asserted that his termination was taken without cause, and he opined that Agency misapplied the </w:t>
      </w:r>
      <w:r w:rsidRPr="00BF5922">
        <w:rPr>
          <w:i/>
          <w:iCs/>
          <w:sz w:val="22"/>
          <w:szCs w:val="22"/>
        </w:rPr>
        <w:t>Douglas</w:t>
      </w:r>
      <w:r w:rsidRPr="00BF5922">
        <w:rPr>
          <w:sz w:val="22"/>
          <w:szCs w:val="22"/>
        </w:rPr>
        <w:t xml:space="preserve"> factors when selecting the penalty. As a result, he asked to be reinstated with backpay and benefits. </w:t>
      </w:r>
    </w:p>
    <w:p w14:paraId="27D1D2C4" w14:textId="77777777" w:rsidR="00D17CFD" w:rsidRPr="007124A1" w:rsidRDefault="00BF5922" w:rsidP="00BF5922">
      <w:pPr>
        <w:ind w:firstLine="360"/>
        <w:contextualSpacing/>
        <w:jc w:val="both"/>
        <w:rPr>
          <w:sz w:val="12"/>
          <w:szCs w:val="12"/>
        </w:rPr>
      </w:pPr>
      <w:r w:rsidRPr="00BF5922">
        <w:rPr>
          <w:sz w:val="22"/>
          <w:szCs w:val="22"/>
        </w:rPr>
        <w:tab/>
      </w:r>
    </w:p>
    <w:p w14:paraId="6A4C2169" w14:textId="2FC91C19" w:rsidR="00BF5922" w:rsidRPr="00BF5922" w:rsidRDefault="00BF5922" w:rsidP="00D17CFD">
      <w:pPr>
        <w:ind w:left="1620"/>
        <w:contextualSpacing/>
        <w:jc w:val="both"/>
        <w:rPr>
          <w:sz w:val="22"/>
          <w:szCs w:val="22"/>
        </w:rPr>
      </w:pPr>
      <w:r w:rsidRPr="00BF5922">
        <w:rPr>
          <w:sz w:val="22"/>
          <w:szCs w:val="22"/>
        </w:rPr>
        <w:t xml:space="preserve">Agency filed its answer on September 22, 2023. It denied Employee’s substantive allegations and contended that it had cause to discipline Employee for his misconduct. Agency reasoned that the penalty was appropriate based on the </w:t>
      </w:r>
      <w:r w:rsidRPr="00BF5922">
        <w:rPr>
          <w:i/>
          <w:iCs/>
          <w:sz w:val="22"/>
          <w:szCs w:val="22"/>
        </w:rPr>
        <w:t>Douglas</w:t>
      </w:r>
      <w:r w:rsidRPr="00BF5922">
        <w:rPr>
          <w:sz w:val="22"/>
          <w:szCs w:val="22"/>
        </w:rPr>
        <w:t xml:space="preserve"> factors. Therefore, it submitted that Employee’s termination was taken in accordance with all </w:t>
      </w:r>
      <w:r w:rsidRPr="00BF5922">
        <w:rPr>
          <w:sz w:val="22"/>
          <w:szCs w:val="22"/>
        </w:rPr>
        <w:lastRenderedPageBreak/>
        <w:t>laws, rules, and regulations.</w:t>
      </w:r>
    </w:p>
    <w:p w14:paraId="1663FD07" w14:textId="77777777" w:rsidR="00D17CFD" w:rsidRPr="007124A1" w:rsidRDefault="00BF5922" w:rsidP="00BF5922">
      <w:pPr>
        <w:ind w:firstLine="360"/>
        <w:contextualSpacing/>
        <w:jc w:val="both"/>
        <w:rPr>
          <w:sz w:val="12"/>
          <w:szCs w:val="12"/>
        </w:rPr>
      </w:pPr>
      <w:r w:rsidRPr="00BF5922">
        <w:rPr>
          <w:sz w:val="22"/>
          <w:szCs w:val="22"/>
        </w:rPr>
        <w:tab/>
      </w:r>
    </w:p>
    <w:p w14:paraId="05AAAE90" w14:textId="4E50358C" w:rsidR="00BF5922" w:rsidRPr="00BF5922" w:rsidRDefault="00BF5922" w:rsidP="00D17CFD">
      <w:pPr>
        <w:ind w:left="1620"/>
        <w:contextualSpacing/>
        <w:jc w:val="both"/>
        <w:rPr>
          <w:iCs/>
          <w:sz w:val="22"/>
          <w:szCs w:val="22"/>
        </w:rPr>
      </w:pPr>
      <w:r w:rsidRPr="00BF5922">
        <w:rPr>
          <w:sz w:val="22"/>
          <w:szCs w:val="22"/>
        </w:rPr>
        <w:t xml:space="preserve">An  Administrative Judge (“AJ”) was assigned to the matter in </w:t>
      </w:r>
      <w:r w:rsidRPr="00BF5922">
        <w:rPr>
          <w:iCs/>
          <w:sz w:val="22"/>
          <w:szCs w:val="22"/>
        </w:rPr>
        <w:t xml:space="preserve">October </w:t>
      </w:r>
      <w:r w:rsidRPr="00BF5922">
        <w:rPr>
          <w:sz w:val="22"/>
          <w:szCs w:val="22"/>
        </w:rPr>
        <w:t>of</w:t>
      </w:r>
      <w:r w:rsidRPr="00BF5922">
        <w:rPr>
          <w:iCs/>
          <w:sz w:val="22"/>
          <w:szCs w:val="22"/>
        </w:rPr>
        <w:t xml:space="preserve"> 2024</w:t>
      </w:r>
      <w:r w:rsidRPr="00BF5922">
        <w:rPr>
          <w:sz w:val="22"/>
          <w:szCs w:val="22"/>
        </w:rPr>
        <w:t>.</w:t>
      </w:r>
      <w:r w:rsidR="00D17CFD" w:rsidRPr="00BF5922">
        <w:rPr>
          <w:sz w:val="22"/>
          <w:szCs w:val="22"/>
        </w:rPr>
        <w:t xml:space="preserve"> </w:t>
      </w:r>
      <w:r w:rsidRPr="00BF5922">
        <w:rPr>
          <w:sz w:val="22"/>
          <w:szCs w:val="22"/>
        </w:rPr>
        <w:t>During a November 22, 2024,</w:t>
      </w:r>
      <w:r w:rsidRPr="00BF5922">
        <w:rPr>
          <w:iCs/>
          <w:sz w:val="22"/>
          <w:szCs w:val="22"/>
        </w:rPr>
        <w:t xml:space="preserve"> Prehearing Conference</w:t>
      </w:r>
      <w:r w:rsidRPr="00BF5922">
        <w:rPr>
          <w:sz w:val="22"/>
          <w:szCs w:val="22"/>
        </w:rPr>
        <w:t xml:space="preserve">, the AJ determined that the holding in </w:t>
      </w:r>
      <w:r w:rsidRPr="00BF5922">
        <w:rPr>
          <w:i/>
          <w:sz w:val="22"/>
          <w:szCs w:val="22"/>
        </w:rPr>
        <w:t>Pinkard v Metropolitan Police Department</w:t>
      </w:r>
      <w:r w:rsidRPr="00BF5922">
        <w:rPr>
          <w:sz w:val="22"/>
          <w:szCs w:val="22"/>
        </w:rPr>
        <w:t xml:space="preserve">, 801 A.2d 86 (D.C. 2006), precluded a </w:t>
      </w:r>
      <w:r w:rsidRPr="00BF5922">
        <w:rPr>
          <w:i/>
          <w:sz w:val="22"/>
          <w:szCs w:val="22"/>
        </w:rPr>
        <w:t xml:space="preserve">de novo </w:t>
      </w:r>
      <w:r w:rsidRPr="00BF5922">
        <w:rPr>
          <w:sz w:val="22"/>
          <w:szCs w:val="22"/>
        </w:rPr>
        <w:t>evidentiary hearing</w:t>
      </w:r>
      <w:r w:rsidRPr="00BF5922">
        <w:rPr>
          <w:i/>
          <w:sz w:val="22"/>
          <w:szCs w:val="22"/>
        </w:rPr>
        <w:t>.</w:t>
      </w:r>
      <w:r w:rsidRPr="00BF5922">
        <w:rPr>
          <w:iCs/>
          <w:sz w:val="22"/>
          <w:szCs w:val="22"/>
        </w:rPr>
        <w:t xml:space="preserve"> Accordingly, the parties were ordered to submit briefs addressing whether (1) the Adverse Action Panel’s decision was supported by substantial evidence; (2) whether there was harmful procedural error; and (3) whether Employee’s termination was taken in accordance with all laws and/or regulations.</w:t>
      </w:r>
    </w:p>
    <w:p w14:paraId="22559C4F" w14:textId="77777777" w:rsidR="00D17CFD" w:rsidRPr="007124A1" w:rsidRDefault="00D17CFD" w:rsidP="00D17CFD">
      <w:pPr>
        <w:contextualSpacing/>
        <w:jc w:val="both"/>
        <w:rPr>
          <w:sz w:val="12"/>
          <w:szCs w:val="12"/>
        </w:rPr>
      </w:pPr>
    </w:p>
    <w:p w14:paraId="7FF76FA0" w14:textId="46CCCAEB" w:rsidR="00BF5922" w:rsidRPr="00BF5922" w:rsidRDefault="00BF5922" w:rsidP="00D17CFD">
      <w:pPr>
        <w:ind w:left="1620"/>
        <w:contextualSpacing/>
        <w:jc w:val="both"/>
        <w:rPr>
          <w:sz w:val="22"/>
          <w:szCs w:val="22"/>
        </w:rPr>
      </w:pPr>
      <w:r w:rsidRPr="00BF5922">
        <w:rPr>
          <w:sz w:val="22"/>
          <w:szCs w:val="22"/>
        </w:rPr>
        <w:t>In its brief, Agency argued that each of the charges and specifications levied against Employee were supported by substantial evidence. According to Agency, an investigation into his criminal background revealed that Employee assaulted and strangled K.H. to the point of unconsciousness in 2019; assaulted R.J. in 2019 by grabbing him by the neck and throwing him on the couch; and threatened to kill K.H. over the telephone on May 11, 2021, while she was in the presence of her children. Agency averred that Employee made misrepresentations on his PHS when he responded ‘no’ to the question of whether he ever committed any previous batteries or assaults, or any acts that would rise to a felony or misdemeanor. It also maintained that after Employee was reinstated, he remained subject to the requirements of all General Orders. Agency lastly posited that the cellphone recording of Employee’s assault on K.H. was admissible before the Adverse Action Panel because Maryland’s two-party consent rule did not apply to a hearing conducted in the District of Columbia. Therefore, it believed that termination was the only appropriate recourse for Employee’s misconduct.</w:t>
      </w:r>
    </w:p>
    <w:p w14:paraId="556B3046" w14:textId="77777777" w:rsidR="00D17CFD" w:rsidRPr="007124A1" w:rsidRDefault="00D17CFD" w:rsidP="00D17CFD">
      <w:pPr>
        <w:contextualSpacing/>
        <w:jc w:val="both"/>
        <w:rPr>
          <w:sz w:val="12"/>
          <w:szCs w:val="12"/>
        </w:rPr>
      </w:pPr>
    </w:p>
    <w:p w14:paraId="5282387F" w14:textId="271D3084" w:rsidR="00BF5922" w:rsidRPr="00BF5922" w:rsidRDefault="00BF5922" w:rsidP="00D17CFD">
      <w:pPr>
        <w:ind w:left="1620"/>
        <w:contextualSpacing/>
        <w:jc w:val="both"/>
        <w:rPr>
          <w:sz w:val="22"/>
          <w:szCs w:val="22"/>
        </w:rPr>
      </w:pPr>
      <w:r w:rsidRPr="00BF5922">
        <w:rPr>
          <w:sz w:val="22"/>
          <w:szCs w:val="22"/>
        </w:rPr>
        <w:t>In response, Employee argued that K.H. failed to call the police after the alleged assault; he was never arrested, charged, or prosecuted as a result of the incident; K.H. made the claim in an effort to gain leverage in the custody dispute over their daughter; and any claim of an assault made on R.J. was based on conflicting witness accounts. Employee noted that K.H. later recanted her allegations against him. He further argued that the audio recording of the assault was required to be excluded under Maryland’s two-party consent law. According to Employee, Agency failed to prove that he knowingly provided false information with an intent to mislead; the completion of the PHS violated OEA’s reinstatement directive and D.C. Superior Court’s order affirming this Office’s ruling; and Agency lacked jurisdiction to impose discipline against him for conduct that occurred when he was not employed by the Metropolitan Police Department. Consequently, he requested that the termination action be reversed.</w:t>
      </w:r>
    </w:p>
    <w:p w14:paraId="06E7B79D" w14:textId="77777777" w:rsidR="00D17CFD" w:rsidRPr="007124A1" w:rsidRDefault="00D17CFD" w:rsidP="00BF5922">
      <w:pPr>
        <w:contextualSpacing/>
        <w:jc w:val="both"/>
        <w:rPr>
          <w:sz w:val="12"/>
          <w:szCs w:val="12"/>
        </w:rPr>
      </w:pPr>
    </w:p>
    <w:p w14:paraId="68BE4536" w14:textId="45D14861" w:rsidR="00BF5922" w:rsidRPr="00BF5922" w:rsidRDefault="00BF5922" w:rsidP="00D17CFD">
      <w:pPr>
        <w:ind w:left="1620"/>
        <w:contextualSpacing/>
        <w:jc w:val="both"/>
        <w:rPr>
          <w:sz w:val="22"/>
          <w:szCs w:val="22"/>
        </w:rPr>
      </w:pPr>
      <w:r w:rsidRPr="00BF5922">
        <w:rPr>
          <w:sz w:val="22"/>
          <w:szCs w:val="22"/>
        </w:rPr>
        <w:t>The AJ issued an Initial Decision on June 11, 2025. She held that K.H.’s interview with Agency’s Internal Affairs Division (“IAD”) and the cell phone recording of the 2019 incident constituted substantial evidence to find that that Employee was guilty of any act constituting a crime, namely assault. The AJ similarly ruled that Employee engaged in conduct constituting a crime when he picked up R.J. by the neck and threw him onto a couch. Concerning the conduct unbecoming an officer charge, the AJ determined that Agency met its burden of proof as to each specification identified in Agency’s charging documents. As a result, she found that Employee violated General Order Series 120.21, Attachment A, Parts A-7 and 12.</w:t>
      </w:r>
    </w:p>
    <w:p w14:paraId="79D1296C" w14:textId="77777777" w:rsidR="00D17CFD" w:rsidRPr="007124A1" w:rsidRDefault="00D17CFD" w:rsidP="00BF5922">
      <w:pPr>
        <w:contextualSpacing/>
        <w:jc w:val="both"/>
        <w:rPr>
          <w:sz w:val="12"/>
          <w:szCs w:val="12"/>
        </w:rPr>
      </w:pPr>
    </w:p>
    <w:p w14:paraId="66722A17" w14:textId="63B66B27" w:rsidR="00BF5922" w:rsidRPr="00BF5922" w:rsidRDefault="00BF5922" w:rsidP="00D17CFD">
      <w:pPr>
        <w:ind w:left="1620"/>
        <w:contextualSpacing/>
        <w:jc w:val="both"/>
        <w:rPr>
          <w:sz w:val="22"/>
          <w:szCs w:val="22"/>
        </w:rPr>
      </w:pPr>
      <w:r w:rsidRPr="00BF5922">
        <w:rPr>
          <w:sz w:val="22"/>
          <w:szCs w:val="22"/>
        </w:rPr>
        <w:t xml:space="preserve">With respect to the charge of fraud in securing employment, the AJ provided that Agency only met its burden of proof as it related to the PHS questions of whether Employee had engaged in activity amounting to a misdemeanor, and whether Employee ever used force or violence upon another. Finally, the AJ ruled that Agency did not commit any harmful procedural errors in the administration of the termination action; Agency performed a </w:t>
      </w:r>
      <w:r w:rsidRPr="00BF5922">
        <w:rPr>
          <w:sz w:val="22"/>
          <w:szCs w:val="22"/>
        </w:rPr>
        <w:lastRenderedPageBreak/>
        <w:t xml:space="preserve">full assessment of the </w:t>
      </w:r>
      <w:r w:rsidRPr="00BF5922">
        <w:rPr>
          <w:i/>
          <w:iCs/>
          <w:sz w:val="22"/>
          <w:szCs w:val="22"/>
        </w:rPr>
        <w:t>Douglas</w:t>
      </w:r>
      <w:r w:rsidRPr="00BF5922">
        <w:rPr>
          <w:sz w:val="22"/>
          <w:szCs w:val="22"/>
        </w:rPr>
        <w:t xml:space="preserve"> factors; and Employee failed to establish a claim of disparate treatment. Consequently, Employee’s termination was upheld.</w:t>
      </w:r>
    </w:p>
    <w:p w14:paraId="152A6081" w14:textId="77777777" w:rsidR="00D17CFD" w:rsidRPr="007124A1" w:rsidRDefault="00D17CFD" w:rsidP="00BF5922">
      <w:pPr>
        <w:contextualSpacing/>
        <w:jc w:val="both"/>
        <w:rPr>
          <w:sz w:val="12"/>
          <w:szCs w:val="12"/>
        </w:rPr>
      </w:pPr>
    </w:p>
    <w:p w14:paraId="44C5AFC3" w14:textId="55A2124A" w:rsidR="00BF5922" w:rsidRPr="00BF5922" w:rsidRDefault="00BF5922" w:rsidP="00D17CFD">
      <w:pPr>
        <w:ind w:left="1620"/>
        <w:contextualSpacing/>
        <w:jc w:val="both"/>
        <w:rPr>
          <w:sz w:val="22"/>
          <w:szCs w:val="22"/>
        </w:rPr>
      </w:pPr>
      <w:r w:rsidRPr="00BF5922">
        <w:rPr>
          <w:sz w:val="22"/>
          <w:szCs w:val="22"/>
        </w:rPr>
        <w:t xml:space="preserve">Employee filed a Petition for Review with the OEA Board on July 15, 2025. He argues that the AJ’s determinations with respect to the charges are incorrect because 1) K.H. recanted her accusation that she was strangled; 2) the AJ failed to assess the inconsistencies in the accounts of the three family members who witnessed Employee’s alleged assault of R.J.; 3) text messages between Employee and K.H. reveal that they had a healthy and loving relationship; and 4) the physical contact with R.J. was not a crime because Maryland law permits parents to exercise corporal punishment against their children and stepchildren. He opines that Agency committed harmful procedural errors by admitting illegally obtained cellphone footage of the 2019 assault on K.H. at the hearing; imposing discipline based on conduct that occurred while he was in a terminated status; and inappropriately classified the conduct described in Charge No. 1 as a felony and not a misdemeanor. Lastly, Employee avers that the AJ ran afoul of </w:t>
      </w:r>
      <w:r w:rsidRPr="00BF5922">
        <w:rPr>
          <w:color w:val="000000"/>
          <w:sz w:val="22"/>
          <w:szCs w:val="22"/>
        </w:rPr>
        <w:t>OEA Rule 634.1 and D.C. Code § 1–606.03 when she issued the Initial Decision more than 120 business days after the Petition for Appeal was filed. As a result, he asks that the Board grant his petition.</w:t>
      </w:r>
      <w:r w:rsidRPr="00BF5922">
        <w:rPr>
          <w:sz w:val="22"/>
          <w:szCs w:val="22"/>
        </w:rPr>
        <w:t xml:space="preserve"> </w:t>
      </w:r>
    </w:p>
    <w:p w14:paraId="766079FE" w14:textId="77777777" w:rsidR="00D17CFD" w:rsidRPr="007124A1" w:rsidRDefault="00D17CFD" w:rsidP="00BF5922">
      <w:pPr>
        <w:contextualSpacing/>
        <w:jc w:val="both"/>
        <w:rPr>
          <w:color w:val="000000"/>
          <w:sz w:val="12"/>
          <w:szCs w:val="12"/>
        </w:rPr>
      </w:pPr>
    </w:p>
    <w:p w14:paraId="6EF4ABE5" w14:textId="0B3F5451" w:rsidR="00BF5922" w:rsidRPr="00BF5922" w:rsidRDefault="00BF5922" w:rsidP="00D17CFD">
      <w:pPr>
        <w:ind w:left="1620"/>
        <w:contextualSpacing/>
        <w:jc w:val="both"/>
        <w:rPr>
          <w:sz w:val="22"/>
          <w:szCs w:val="22"/>
        </w:rPr>
      </w:pPr>
      <w:r w:rsidRPr="00BF5922">
        <w:rPr>
          <w:color w:val="000000"/>
          <w:sz w:val="22"/>
          <w:szCs w:val="22"/>
        </w:rPr>
        <w:t>In response, Agency submits that it has successfully demonstrated that each charge and specification levied against Employee is supported by substantial evidence. It denies committing any harmful procedural errors during Employee’s disciplinary proceedings. Agency maintains that the termination action was taken in accordance with all applicable laws and regulations. Thus, it reasons that the Initial Decision is supported by the record. Therefore, it requests that Employee’s petition be denied.</w:t>
      </w:r>
    </w:p>
    <w:p w14:paraId="6587F1E5" w14:textId="77777777" w:rsidR="00BF5922" w:rsidRPr="004E4010" w:rsidRDefault="00BF5922" w:rsidP="00BF5922">
      <w:pPr>
        <w:pStyle w:val="ListParagraph"/>
        <w:ind w:left="1440"/>
        <w:rPr>
          <w:sz w:val="12"/>
          <w:szCs w:val="12"/>
        </w:rPr>
      </w:pPr>
    </w:p>
    <w:p w14:paraId="2244A326" w14:textId="77777777" w:rsidR="004E4010" w:rsidRPr="00F61428" w:rsidRDefault="004E4010" w:rsidP="004E4010">
      <w:pPr>
        <w:widowControl/>
        <w:numPr>
          <w:ilvl w:val="1"/>
          <w:numId w:val="1"/>
        </w:numPr>
        <w:tabs>
          <w:tab w:val="clear" w:pos="1440"/>
        </w:tabs>
        <w:ind w:left="-90" w:firstLine="360"/>
        <w:contextualSpacing/>
        <w:jc w:val="both"/>
        <w:rPr>
          <w:rFonts w:eastAsia="SimSun"/>
          <w:b/>
          <w:sz w:val="22"/>
          <w:lang w:eastAsia="zh-CN"/>
        </w:rPr>
      </w:pPr>
      <w:r w:rsidRPr="00F61428">
        <w:rPr>
          <w:rFonts w:eastAsia="SimSun"/>
          <w:b/>
          <w:sz w:val="22"/>
          <w:lang w:eastAsia="zh-CN"/>
        </w:rPr>
        <w:t xml:space="preserve">Deliberations </w:t>
      </w:r>
      <w:r w:rsidRPr="00F61428">
        <w:rPr>
          <w:rFonts w:eastAsia="SimSun"/>
          <w:sz w:val="22"/>
          <w:lang w:eastAsia="zh-CN"/>
        </w:rPr>
        <w:t xml:space="preserve">– This portion of the meeting will be closed to the public for deliberations </w:t>
      </w:r>
    </w:p>
    <w:p w14:paraId="3E33B0E3" w14:textId="77777777" w:rsidR="004E4010" w:rsidRDefault="004E4010" w:rsidP="004E4010">
      <w:pPr>
        <w:ind w:left="270" w:firstLine="450"/>
        <w:contextualSpacing/>
        <w:rPr>
          <w:rFonts w:eastAsia="SimSun"/>
          <w:b/>
          <w:sz w:val="22"/>
          <w:lang w:eastAsia="zh-CN"/>
        </w:rPr>
      </w:pPr>
      <w:r w:rsidRPr="00F61428">
        <w:rPr>
          <w:rFonts w:eastAsia="SimSun"/>
          <w:sz w:val="22"/>
          <w:lang w:eastAsia="zh-CN"/>
        </w:rPr>
        <w:t xml:space="preserve">in accordance with D.C. Official Code § 2-575(b)(13).  </w:t>
      </w:r>
    </w:p>
    <w:p w14:paraId="6015C443" w14:textId="77777777" w:rsidR="004E4010" w:rsidRPr="003945A9" w:rsidRDefault="004E4010" w:rsidP="004E4010">
      <w:pPr>
        <w:ind w:left="270" w:firstLine="450"/>
        <w:contextualSpacing/>
        <w:rPr>
          <w:rFonts w:eastAsia="SimSun"/>
          <w:b/>
          <w:sz w:val="12"/>
          <w:szCs w:val="12"/>
          <w:lang w:eastAsia="zh-CN"/>
        </w:rPr>
      </w:pPr>
      <w:r w:rsidRPr="00F61428">
        <w:rPr>
          <w:rFonts w:eastAsia="SimSun"/>
          <w:sz w:val="22"/>
          <w:lang w:eastAsia="zh-CN"/>
        </w:rPr>
        <w:t xml:space="preserve">         </w:t>
      </w:r>
    </w:p>
    <w:p w14:paraId="3E172956" w14:textId="77777777" w:rsidR="004E4010" w:rsidRPr="00F61428" w:rsidRDefault="004E4010" w:rsidP="004E4010">
      <w:pPr>
        <w:widowControl/>
        <w:numPr>
          <w:ilvl w:val="1"/>
          <w:numId w:val="1"/>
        </w:numPr>
        <w:tabs>
          <w:tab w:val="clear" w:pos="1440"/>
          <w:tab w:val="num" w:pos="720"/>
        </w:tabs>
        <w:ind w:left="1170" w:hanging="900"/>
        <w:contextualSpacing/>
        <w:jc w:val="both"/>
        <w:rPr>
          <w:rFonts w:eastAsia="SimSun"/>
          <w:b/>
          <w:sz w:val="22"/>
          <w:lang w:eastAsia="zh-CN"/>
        </w:rPr>
      </w:pPr>
      <w:r w:rsidRPr="00F61428">
        <w:rPr>
          <w:rFonts w:eastAsia="SimSun"/>
          <w:b/>
          <w:sz w:val="22"/>
          <w:lang w:eastAsia="zh-CN"/>
        </w:rPr>
        <w:t>Open Portion Resumes</w:t>
      </w:r>
    </w:p>
    <w:p w14:paraId="1999B0C5" w14:textId="77777777" w:rsidR="004E4010" w:rsidRPr="00F61428" w:rsidRDefault="004E4010" w:rsidP="004E4010">
      <w:pPr>
        <w:tabs>
          <w:tab w:val="num" w:pos="1080"/>
        </w:tabs>
        <w:ind w:left="1440" w:hanging="450"/>
        <w:contextualSpacing/>
        <w:rPr>
          <w:rFonts w:eastAsia="SimSun"/>
          <w:b/>
          <w:sz w:val="12"/>
          <w:szCs w:val="12"/>
          <w:lang w:eastAsia="zh-CN"/>
        </w:rPr>
      </w:pPr>
    </w:p>
    <w:p w14:paraId="381F37F4" w14:textId="77777777" w:rsidR="004E4010" w:rsidRDefault="004E4010" w:rsidP="004E4010">
      <w:pPr>
        <w:widowControl/>
        <w:numPr>
          <w:ilvl w:val="1"/>
          <w:numId w:val="1"/>
        </w:numPr>
        <w:tabs>
          <w:tab w:val="clear" w:pos="1440"/>
          <w:tab w:val="num" w:pos="990"/>
        </w:tabs>
        <w:ind w:left="720" w:hanging="450"/>
        <w:contextualSpacing/>
        <w:jc w:val="both"/>
        <w:rPr>
          <w:rFonts w:eastAsia="SimSun"/>
          <w:b/>
          <w:sz w:val="22"/>
          <w:lang w:eastAsia="zh-CN"/>
        </w:rPr>
      </w:pPr>
      <w:r>
        <w:rPr>
          <w:rFonts w:eastAsia="SimSun"/>
          <w:b/>
          <w:sz w:val="22"/>
          <w:lang w:eastAsia="zh-CN"/>
        </w:rPr>
        <w:t>Final Votes on Motion for Interlocutory Appeal</w:t>
      </w:r>
    </w:p>
    <w:p w14:paraId="20B262EF" w14:textId="77777777" w:rsidR="004E4010" w:rsidRPr="00F320C9" w:rsidRDefault="004E4010" w:rsidP="004E4010">
      <w:pPr>
        <w:contextualSpacing/>
        <w:rPr>
          <w:rFonts w:eastAsia="SimSun"/>
          <w:b/>
          <w:sz w:val="12"/>
          <w:szCs w:val="12"/>
          <w:lang w:eastAsia="zh-CN"/>
        </w:rPr>
      </w:pPr>
    </w:p>
    <w:p w14:paraId="768A35C0" w14:textId="63D69256" w:rsidR="004E4010" w:rsidRPr="00F61428" w:rsidRDefault="004E4010" w:rsidP="004E4010">
      <w:pPr>
        <w:widowControl/>
        <w:numPr>
          <w:ilvl w:val="1"/>
          <w:numId w:val="1"/>
        </w:numPr>
        <w:tabs>
          <w:tab w:val="clear" w:pos="1440"/>
          <w:tab w:val="num" w:pos="990"/>
        </w:tabs>
        <w:ind w:left="720" w:hanging="450"/>
        <w:contextualSpacing/>
        <w:jc w:val="both"/>
        <w:rPr>
          <w:rFonts w:eastAsia="SimSun"/>
          <w:b/>
          <w:sz w:val="22"/>
          <w:lang w:eastAsia="zh-CN"/>
        </w:rPr>
      </w:pPr>
      <w:r w:rsidRPr="00F61428">
        <w:rPr>
          <w:rFonts w:eastAsia="SimSun"/>
          <w:b/>
          <w:sz w:val="22"/>
          <w:lang w:eastAsia="zh-CN"/>
        </w:rPr>
        <w:t xml:space="preserve">Final Votes on </w:t>
      </w:r>
      <w:r w:rsidR="00460F4B">
        <w:rPr>
          <w:rFonts w:eastAsia="SimSun"/>
          <w:b/>
          <w:sz w:val="22"/>
          <w:lang w:eastAsia="zh-CN"/>
        </w:rPr>
        <w:t>Petitions for R</w:t>
      </w:r>
      <w:r w:rsidR="008151BD">
        <w:rPr>
          <w:rFonts w:eastAsia="SimSun"/>
          <w:b/>
          <w:sz w:val="22"/>
          <w:lang w:eastAsia="zh-CN"/>
        </w:rPr>
        <w:t xml:space="preserve">eview </w:t>
      </w:r>
    </w:p>
    <w:p w14:paraId="2F3CF92B" w14:textId="77777777" w:rsidR="004E4010" w:rsidRPr="00F61428" w:rsidRDefault="004E4010" w:rsidP="004E4010">
      <w:pPr>
        <w:ind w:left="720" w:hanging="450"/>
        <w:contextualSpacing/>
        <w:rPr>
          <w:rFonts w:eastAsia="SimSun"/>
          <w:b/>
          <w:sz w:val="12"/>
          <w:szCs w:val="12"/>
          <w:lang w:eastAsia="zh-CN"/>
        </w:rPr>
      </w:pPr>
    </w:p>
    <w:p w14:paraId="512FA82F" w14:textId="77777777" w:rsidR="004E4010" w:rsidRPr="00F61428" w:rsidRDefault="004E4010" w:rsidP="004E4010">
      <w:pPr>
        <w:widowControl/>
        <w:numPr>
          <w:ilvl w:val="1"/>
          <w:numId w:val="1"/>
        </w:numPr>
        <w:tabs>
          <w:tab w:val="clear" w:pos="1440"/>
          <w:tab w:val="left" w:pos="720"/>
          <w:tab w:val="num" w:pos="990"/>
        </w:tabs>
        <w:ind w:hanging="1170"/>
        <w:contextualSpacing/>
        <w:jc w:val="both"/>
        <w:rPr>
          <w:rFonts w:eastAsia="SimSun"/>
          <w:b/>
          <w:sz w:val="22"/>
          <w:lang w:eastAsia="zh-CN"/>
        </w:rPr>
      </w:pPr>
      <w:r w:rsidRPr="00F61428">
        <w:rPr>
          <w:rFonts w:eastAsia="SimSun"/>
          <w:b/>
          <w:sz w:val="22"/>
          <w:lang w:eastAsia="zh-CN"/>
        </w:rPr>
        <w:t>Public Comments</w:t>
      </w:r>
    </w:p>
    <w:p w14:paraId="2C53EA71" w14:textId="77777777" w:rsidR="004E4010" w:rsidRPr="00F61428" w:rsidRDefault="004E4010" w:rsidP="004E4010">
      <w:pPr>
        <w:tabs>
          <w:tab w:val="left" w:pos="720"/>
        </w:tabs>
        <w:contextualSpacing/>
        <w:rPr>
          <w:rFonts w:eastAsia="SimSun"/>
          <w:b/>
          <w:sz w:val="12"/>
          <w:szCs w:val="12"/>
          <w:lang w:eastAsia="zh-CN"/>
        </w:rPr>
      </w:pPr>
    </w:p>
    <w:p w14:paraId="2A55C2F3" w14:textId="77777777" w:rsidR="004E4010" w:rsidRPr="003945A9" w:rsidRDefault="004E4010" w:rsidP="004E4010">
      <w:pPr>
        <w:widowControl/>
        <w:numPr>
          <w:ilvl w:val="0"/>
          <w:numId w:val="1"/>
        </w:numPr>
        <w:tabs>
          <w:tab w:val="left" w:pos="720"/>
        </w:tabs>
        <w:ind w:left="540" w:hanging="540"/>
        <w:contextualSpacing/>
        <w:jc w:val="both"/>
        <w:rPr>
          <w:rFonts w:eastAsia="SimSun"/>
          <w:b/>
          <w:sz w:val="22"/>
          <w:lang w:eastAsia="zh-CN"/>
        </w:rPr>
      </w:pPr>
      <w:r w:rsidRPr="00F61428">
        <w:rPr>
          <w:rFonts w:eastAsia="SimSun"/>
          <w:b/>
          <w:sz w:val="22"/>
          <w:lang w:eastAsia="zh-CN"/>
        </w:rPr>
        <w:t xml:space="preserve">Adjournment </w:t>
      </w:r>
    </w:p>
    <w:p w14:paraId="3724AC36" w14:textId="77777777" w:rsidR="004E4010" w:rsidRDefault="004E4010" w:rsidP="004E4010">
      <w:pPr>
        <w:tabs>
          <w:tab w:val="left" w:pos="720"/>
        </w:tabs>
        <w:contextualSpacing/>
        <w:rPr>
          <w:rFonts w:eastAsia="SimSun"/>
          <w:bCs/>
          <w:sz w:val="22"/>
          <w:lang w:eastAsia="zh-CN"/>
        </w:rPr>
      </w:pPr>
    </w:p>
    <w:p w14:paraId="14EF557B" w14:textId="77777777" w:rsidR="004E4010" w:rsidRPr="003945A9" w:rsidRDefault="004E4010" w:rsidP="004E4010">
      <w:pPr>
        <w:tabs>
          <w:tab w:val="left" w:pos="720"/>
        </w:tabs>
        <w:contextualSpacing/>
        <w:rPr>
          <w:rFonts w:eastAsia="SimSun"/>
          <w:b/>
          <w:sz w:val="22"/>
          <w:lang w:eastAsia="zh-CN"/>
        </w:rPr>
      </w:pPr>
      <w:r w:rsidRPr="00F61428">
        <w:rPr>
          <w:rFonts w:eastAsia="SimSun"/>
          <w:bCs/>
          <w:sz w:val="22"/>
          <w:lang w:eastAsia="zh-CN"/>
        </w:rPr>
        <w:t xml:space="preserve">“This meeting is governed by the Open Meetings Act.  Please address any questions or complaints arising under this meeting to the Office of Open Government at </w:t>
      </w:r>
      <w:hyperlink r:id="rId12" w:history="1">
        <w:r w:rsidRPr="00F61428">
          <w:rPr>
            <w:rStyle w:val="Hyperlink"/>
            <w:rFonts w:eastAsia="SimSun"/>
            <w:bCs/>
            <w:sz w:val="22"/>
            <w:lang w:eastAsia="zh-CN"/>
          </w:rPr>
          <w:t>opengovoffice@dc.gov</w:t>
        </w:r>
      </w:hyperlink>
      <w:r w:rsidRPr="00F61428">
        <w:rPr>
          <w:rFonts w:eastAsia="SimSun"/>
          <w:bCs/>
          <w:sz w:val="22"/>
          <w:lang w:eastAsia="zh-CN"/>
        </w:rPr>
        <w:t>.”</w:t>
      </w:r>
    </w:p>
    <w:p w14:paraId="664D4D4E" w14:textId="77777777" w:rsidR="00BF5922" w:rsidRDefault="00BF5922" w:rsidP="004E4010">
      <w:pPr>
        <w:pStyle w:val="ListParagraph"/>
        <w:ind w:left="1440"/>
      </w:pPr>
    </w:p>
    <w:sectPr w:rsidR="00BF59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EC510" w14:textId="77777777" w:rsidR="00BF5922" w:rsidRDefault="00BF5922" w:rsidP="00BF5922">
      <w:r>
        <w:separator/>
      </w:r>
    </w:p>
  </w:endnote>
  <w:endnote w:type="continuationSeparator" w:id="0">
    <w:p w14:paraId="036EEE7A" w14:textId="77777777" w:rsidR="00BF5922" w:rsidRDefault="00BF5922" w:rsidP="00BF5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55B34" w14:textId="77777777" w:rsidR="00BF5922" w:rsidRDefault="00BF5922" w:rsidP="00BF5922">
      <w:r>
        <w:separator/>
      </w:r>
    </w:p>
  </w:footnote>
  <w:footnote w:type="continuationSeparator" w:id="0">
    <w:p w14:paraId="4B93F786" w14:textId="77777777" w:rsidR="00BF5922" w:rsidRDefault="00BF5922" w:rsidP="00BF5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63F1C"/>
    <w:multiLevelType w:val="hybridMultilevel"/>
    <w:tmpl w:val="7DD86578"/>
    <w:lvl w:ilvl="0" w:tplc="600E7EF2">
      <w:start w:val="1"/>
      <w:numFmt w:val="upperRoman"/>
      <w:lvlText w:val="%1."/>
      <w:lvlJc w:val="left"/>
      <w:pPr>
        <w:tabs>
          <w:tab w:val="num" w:pos="1080"/>
        </w:tabs>
        <w:ind w:left="1080" w:hanging="720"/>
      </w:pPr>
      <w:rPr>
        <w:b/>
      </w:rPr>
    </w:lvl>
    <w:lvl w:ilvl="1" w:tplc="AE1E5B42">
      <w:start w:val="1"/>
      <w:numFmt w:val="upperLetter"/>
      <w:lvlText w:val="%2."/>
      <w:lvlJc w:val="left"/>
      <w:pPr>
        <w:tabs>
          <w:tab w:val="num" w:pos="1440"/>
        </w:tabs>
        <w:ind w:left="1440" w:hanging="360"/>
      </w:pPr>
      <w:rPr>
        <w:b/>
      </w:rPr>
    </w:lvl>
    <w:lvl w:ilvl="2" w:tplc="1496FC8C">
      <w:start w:val="1"/>
      <w:numFmt w:val="decimal"/>
      <w:lvlText w:val="%3."/>
      <w:lvlJc w:val="left"/>
      <w:pPr>
        <w:tabs>
          <w:tab w:val="num" w:pos="1620"/>
        </w:tabs>
        <w:ind w:left="1620" w:hanging="360"/>
      </w:pPr>
      <w:rPr>
        <w:b/>
        <w:bCs w:val="0"/>
        <w:color w:val="auto"/>
        <w:sz w:val="22"/>
        <w:szCs w:val="22"/>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499656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922"/>
    <w:rsid w:val="00077364"/>
    <w:rsid w:val="001766A3"/>
    <w:rsid w:val="001B48CE"/>
    <w:rsid w:val="001F3F86"/>
    <w:rsid w:val="00222BAB"/>
    <w:rsid w:val="002D2C7B"/>
    <w:rsid w:val="003F261F"/>
    <w:rsid w:val="00416CED"/>
    <w:rsid w:val="00460F4B"/>
    <w:rsid w:val="00470A98"/>
    <w:rsid w:val="004B4AF9"/>
    <w:rsid w:val="004C4FF7"/>
    <w:rsid w:val="004D6A18"/>
    <w:rsid w:val="004E4010"/>
    <w:rsid w:val="005B013A"/>
    <w:rsid w:val="005C5BF5"/>
    <w:rsid w:val="00653F97"/>
    <w:rsid w:val="00693850"/>
    <w:rsid w:val="006A1883"/>
    <w:rsid w:val="006D0B13"/>
    <w:rsid w:val="007124A1"/>
    <w:rsid w:val="007B76E2"/>
    <w:rsid w:val="008151BD"/>
    <w:rsid w:val="00816A07"/>
    <w:rsid w:val="00846659"/>
    <w:rsid w:val="00883151"/>
    <w:rsid w:val="00922BE2"/>
    <w:rsid w:val="009B4D6A"/>
    <w:rsid w:val="009B5394"/>
    <w:rsid w:val="009E6645"/>
    <w:rsid w:val="009E68C8"/>
    <w:rsid w:val="00A822DE"/>
    <w:rsid w:val="00A92EA7"/>
    <w:rsid w:val="00AA62F1"/>
    <w:rsid w:val="00B03677"/>
    <w:rsid w:val="00B44551"/>
    <w:rsid w:val="00B97AE4"/>
    <w:rsid w:val="00BE3B69"/>
    <w:rsid w:val="00BF5922"/>
    <w:rsid w:val="00C518AC"/>
    <w:rsid w:val="00C7380C"/>
    <w:rsid w:val="00D17CFD"/>
    <w:rsid w:val="00D51BD0"/>
    <w:rsid w:val="00D558B3"/>
    <w:rsid w:val="00D63A93"/>
    <w:rsid w:val="00D85256"/>
    <w:rsid w:val="00DE5C6D"/>
    <w:rsid w:val="00DF649F"/>
    <w:rsid w:val="00E2467E"/>
    <w:rsid w:val="00E7033C"/>
    <w:rsid w:val="00F23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88E1A"/>
  <w15:chartTrackingRefBased/>
  <w15:docId w15:val="{4B1E0391-ADBF-4EBD-B9FD-FCDEE4A7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922"/>
    <w:pPr>
      <w:widowControl w:val="0"/>
      <w:spacing w:after="0" w:line="240" w:lineRule="auto"/>
    </w:pPr>
    <w:rPr>
      <w:rFonts w:ascii="Times New Roman" w:eastAsia="Times New Roman" w:hAnsi="Times New Roman" w:cs="Times New Roman"/>
      <w:kern w:val="0"/>
    </w:rPr>
  </w:style>
  <w:style w:type="paragraph" w:styleId="Heading1">
    <w:name w:val="heading 1"/>
    <w:basedOn w:val="Normal"/>
    <w:next w:val="Normal"/>
    <w:link w:val="Heading1Char"/>
    <w:uiPriority w:val="9"/>
    <w:qFormat/>
    <w:rsid w:val="00BF59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9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9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9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9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9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9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9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9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9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9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9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9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9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9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9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9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922"/>
    <w:rPr>
      <w:rFonts w:eastAsiaTheme="majorEastAsia" w:cstheme="majorBidi"/>
      <w:color w:val="272727" w:themeColor="text1" w:themeTint="D8"/>
    </w:rPr>
  </w:style>
  <w:style w:type="paragraph" w:styleId="Title">
    <w:name w:val="Title"/>
    <w:basedOn w:val="Normal"/>
    <w:next w:val="Normal"/>
    <w:link w:val="TitleChar"/>
    <w:uiPriority w:val="10"/>
    <w:qFormat/>
    <w:rsid w:val="00BF59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9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9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9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922"/>
    <w:pPr>
      <w:spacing w:before="160"/>
      <w:jc w:val="center"/>
    </w:pPr>
    <w:rPr>
      <w:i/>
      <w:iCs/>
      <w:color w:val="404040" w:themeColor="text1" w:themeTint="BF"/>
    </w:rPr>
  </w:style>
  <w:style w:type="character" w:customStyle="1" w:styleId="QuoteChar">
    <w:name w:val="Quote Char"/>
    <w:basedOn w:val="DefaultParagraphFont"/>
    <w:link w:val="Quote"/>
    <w:uiPriority w:val="29"/>
    <w:rsid w:val="00BF5922"/>
    <w:rPr>
      <w:i/>
      <w:iCs/>
      <w:color w:val="404040" w:themeColor="text1" w:themeTint="BF"/>
    </w:rPr>
  </w:style>
  <w:style w:type="paragraph" w:styleId="ListParagraph">
    <w:name w:val="List Paragraph"/>
    <w:basedOn w:val="Normal"/>
    <w:uiPriority w:val="34"/>
    <w:qFormat/>
    <w:rsid w:val="00BF5922"/>
    <w:pPr>
      <w:ind w:left="720"/>
      <w:contextualSpacing/>
    </w:pPr>
  </w:style>
  <w:style w:type="character" w:styleId="IntenseEmphasis">
    <w:name w:val="Intense Emphasis"/>
    <w:basedOn w:val="DefaultParagraphFont"/>
    <w:uiPriority w:val="21"/>
    <w:qFormat/>
    <w:rsid w:val="00BF5922"/>
    <w:rPr>
      <w:i/>
      <w:iCs/>
      <w:color w:val="0F4761" w:themeColor="accent1" w:themeShade="BF"/>
    </w:rPr>
  </w:style>
  <w:style w:type="paragraph" w:styleId="IntenseQuote">
    <w:name w:val="Intense Quote"/>
    <w:basedOn w:val="Normal"/>
    <w:next w:val="Normal"/>
    <w:link w:val="IntenseQuoteChar"/>
    <w:uiPriority w:val="30"/>
    <w:qFormat/>
    <w:rsid w:val="00BF59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922"/>
    <w:rPr>
      <w:i/>
      <w:iCs/>
      <w:color w:val="0F4761" w:themeColor="accent1" w:themeShade="BF"/>
    </w:rPr>
  </w:style>
  <w:style w:type="character" w:styleId="IntenseReference">
    <w:name w:val="Intense Reference"/>
    <w:basedOn w:val="DefaultParagraphFont"/>
    <w:uiPriority w:val="32"/>
    <w:qFormat/>
    <w:rsid w:val="00BF5922"/>
    <w:rPr>
      <w:b/>
      <w:bCs/>
      <w:smallCaps/>
      <w:color w:val="0F4761" w:themeColor="accent1" w:themeShade="BF"/>
      <w:spacing w:val="5"/>
    </w:rPr>
  </w:style>
  <w:style w:type="character" w:styleId="Hyperlink">
    <w:name w:val="Hyperlink"/>
    <w:basedOn w:val="DefaultParagraphFont"/>
    <w:uiPriority w:val="99"/>
    <w:unhideWhenUsed/>
    <w:rsid w:val="00BF5922"/>
    <w:rPr>
      <w:color w:val="467886" w:themeColor="hyperlink"/>
      <w:u w:val="single"/>
    </w:rPr>
  </w:style>
  <w:style w:type="paragraph" w:styleId="FootnoteText">
    <w:name w:val="footnote text"/>
    <w:basedOn w:val="Normal"/>
    <w:link w:val="FootnoteTextChar"/>
    <w:uiPriority w:val="99"/>
    <w:unhideWhenUsed/>
    <w:rsid w:val="00BF5922"/>
    <w:pPr>
      <w:widowControl/>
    </w:pPr>
    <w:rPr>
      <w:sz w:val="20"/>
      <w:szCs w:val="20"/>
    </w:rPr>
  </w:style>
  <w:style w:type="character" w:customStyle="1" w:styleId="FootnoteTextChar">
    <w:name w:val="Footnote Text Char"/>
    <w:basedOn w:val="DefaultParagraphFont"/>
    <w:link w:val="FootnoteText"/>
    <w:uiPriority w:val="99"/>
    <w:rsid w:val="00BF5922"/>
    <w:rPr>
      <w:rFonts w:ascii="Times New Roman" w:eastAsia="Times New Roman" w:hAnsi="Times New Roman" w:cs="Times New Roman"/>
      <w:kern w:val="0"/>
      <w:sz w:val="20"/>
      <w:szCs w:val="20"/>
    </w:rPr>
  </w:style>
  <w:style w:type="character" w:styleId="FootnoteReference">
    <w:name w:val="footnote reference"/>
    <w:basedOn w:val="DefaultParagraphFont"/>
    <w:uiPriority w:val="99"/>
    <w:unhideWhenUsed/>
    <w:rsid w:val="00BF5922"/>
    <w:rPr>
      <w:vertAlign w:val="superscript"/>
    </w:rPr>
  </w:style>
  <w:style w:type="character" w:styleId="UnresolvedMention">
    <w:name w:val="Unresolved Mention"/>
    <w:basedOn w:val="DefaultParagraphFont"/>
    <w:uiPriority w:val="99"/>
    <w:semiHidden/>
    <w:unhideWhenUsed/>
    <w:rsid w:val="00222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pengovoffice@dc.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ynter.clarke@dc.gov" TargetMode="External"/><Relationship Id="rId5" Type="http://schemas.openxmlformats.org/officeDocument/2006/relationships/styles" Target="styles.xml"/><Relationship Id="rId10" Type="http://schemas.openxmlformats.org/officeDocument/2006/relationships/hyperlink" Target="https://dcnet.webex.com/dcnet/j.php?MTID=m86cc3d5d1c618b18dcd6b05c9d219f6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D10197A075D84086A39586F1A93F35" ma:contentTypeVersion="9" ma:contentTypeDescription="Create a new document." ma:contentTypeScope="" ma:versionID="4c43ef2dc9d63b4f77f463f796755f8c">
  <xsd:schema xmlns:xsd="http://www.w3.org/2001/XMLSchema" xmlns:xs="http://www.w3.org/2001/XMLSchema" xmlns:p="http://schemas.microsoft.com/office/2006/metadata/properties" xmlns:ns3="9e83932e-f425-45b0-b5c6-fe405ab3be6e" xmlns:ns4="1ada1fbf-a224-4adf-a9d1-61fa4e3be8ae" targetNamespace="http://schemas.microsoft.com/office/2006/metadata/properties" ma:root="true" ma:fieldsID="2310e40c1db8c81f772b48de1ed3396c" ns3:_="" ns4:_="">
    <xsd:import namespace="9e83932e-f425-45b0-b5c6-fe405ab3be6e"/>
    <xsd:import namespace="1ada1fbf-a224-4adf-a9d1-61fa4e3be8a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3932e-f425-45b0-b5c6-fe405ab3be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a1fbf-a224-4adf-a9d1-61fa4e3be8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e83932e-f425-45b0-b5c6-fe405ab3be6e" xsi:nil="true"/>
  </documentManagement>
</p:properties>
</file>

<file path=customXml/itemProps1.xml><?xml version="1.0" encoding="utf-8"?>
<ds:datastoreItem xmlns:ds="http://schemas.openxmlformats.org/officeDocument/2006/customXml" ds:itemID="{0415FB66-2FBA-43A4-BBCF-897059814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3932e-f425-45b0-b5c6-fe405ab3be6e"/>
    <ds:schemaRef ds:uri="1ada1fbf-a224-4adf-a9d1-61fa4e3be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D31F16-372E-4726-B428-28FB5EDE74BE}">
  <ds:schemaRefs>
    <ds:schemaRef ds:uri="http://schemas.microsoft.com/sharepoint/v3/contenttype/forms"/>
  </ds:schemaRefs>
</ds:datastoreItem>
</file>

<file path=customXml/itemProps3.xml><?xml version="1.0" encoding="utf-8"?>
<ds:datastoreItem xmlns:ds="http://schemas.openxmlformats.org/officeDocument/2006/customXml" ds:itemID="{970412B5-A2C8-4A0E-8AC8-4771591770D0}">
  <ds:schemaRefs>
    <ds:schemaRef ds:uri="http://purl.org/dc/dcmitype/"/>
    <ds:schemaRef ds:uri="http://www.w3.org/XML/1998/namespace"/>
    <ds:schemaRef ds:uri="http://schemas.microsoft.com/office/2006/documentManagement/types"/>
    <ds:schemaRef ds:uri="http://schemas.microsoft.com/office/2006/metadata/properties"/>
    <ds:schemaRef ds:uri="1ada1fbf-a224-4adf-a9d1-61fa4e3be8ae"/>
    <ds:schemaRef ds:uri="http://schemas.openxmlformats.org/package/2006/metadata/core-properties"/>
    <ds:schemaRef ds:uri="http://purl.org/dc/elements/1.1/"/>
    <ds:schemaRef ds:uri="http://schemas.microsoft.com/office/infopath/2007/PartnerControls"/>
    <ds:schemaRef ds:uri="9e83932e-f425-45b0-b5c6-fe405ab3be6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5365</Words>
  <Characters>30584</Characters>
  <Application>Microsoft Office Word</Application>
  <DocSecurity>4</DocSecurity>
  <Lines>254</Lines>
  <Paragraphs>71</Paragraphs>
  <ScaleCrop>false</ScaleCrop>
  <Company>DC Government</Company>
  <LinksUpToDate>false</LinksUpToDate>
  <CharactersWithSpaces>35878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Sommer J. (OEA)</dc:creator>
  <cp:keywords/>
  <dc:description/>
  <cp:lastModifiedBy>Clarke, Wynter (OEA)</cp:lastModifiedBy>
  <cp:revision>2</cp:revision>
  <dcterms:created xsi:type="dcterms:W3CDTF">2025-10-28T19:38:00Z</dcterms:created>
  <dcterms:modified xsi:type="dcterms:W3CDTF">2025-10-28T19:38:00Z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0x01010083D10197A075D84086A39586F1A93F35</vt:lpwstr>
  </property>
</Properties>
</file>