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EAE5" w14:textId="77777777" w:rsidR="00501CA6" w:rsidRPr="00746ED9" w:rsidRDefault="00501CA6" w:rsidP="00501CA6">
      <w:pPr>
        <w:jc w:val="center"/>
        <w:rPr>
          <w:b/>
          <w:bCs/>
          <w:color w:val="000000" w:themeColor="text1"/>
          <w:sz w:val="22"/>
          <w:szCs w:val="22"/>
          <w:lang w:eastAsia="zh-CN"/>
        </w:rPr>
      </w:pPr>
      <w:r w:rsidRPr="00746ED9">
        <w:rPr>
          <w:b/>
          <w:bCs/>
          <w:color w:val="000000" w:themeColor="text1"/>
          <w:sz w:val="22"/>
          <w:szCs w:val="22"/>
          <w:lang w:eastAsia="zh-CN"/>
        </w:rPr>
        <w:t>DISTRICT OF COLUMBIA</w:t>
      </w:r>
    </w:p>
    <w:p w14:paraId="21B1252A" w14:textId="77777777" w:rsidR="00501CA6" w:rsidRPr="00746ED9" w:rsidRDefault="00501CA6" w:rsidP="00501CA6">
      <w:pPr>
        <w:jc w:val="center"/>
        <w:rPr>
          <w:b/>
          <w:bCs/>
          <w:color w:val="000000" w:themeColor="text1"/>
          <w:sz w:val="22"/>
          <w:szCs w:val="22"/>
          <w:lang w:eastAsia="zh-CN"/>
        </w:rPr>
      </w:pPr>
      <w:r w:rsidRPr="00746ED9">
        <w:rPr>
          <w:b/>
          <w:bCs/>
          <w:color w:val="000000" w:themeColor="text1"/>
          <w:sz w:val="22"/>
          <w:szCs w:val="22"/>
          <w:lang w:eastAsia="zh-CN"/>
        </w:rPr>
        <w:t>OFFICE OF EMPLOYEE APPEALS</w:t>
      </w:r>
    </w:p>
    <w:p w14:paraId="23EB8B29" w14:textId="77777777" w:rsidR="00501CA6" w:rsidRPr="00746ED9" w:rsidRDefault="00501CA6" w:rsidP="00501CA6">
      <w:pPr>
        <w:jc w:val="center"/>
        <w:rPr>
          <w:b/>
          <w:bCs/>
          <w:color w:val="000000" w:themeColor="text1"/>
          <w:sz w:val="22"/>
          <w:szCs w:val="22"/>
          <w:lang w:eastAsia="zh-CN"/>
        </w:rPr>
      </w:pPr>
    </w:p>
    <w:p w14:paraId="1E4661A3" w14:textId="77777777" w:rsidR="00501CA6" w:rsidRPr="00746ED9" w:rsidRDefault="00501CA6" w:rsidP="00501CA6">
      <w:pPr>
        <w:jc w:val="center"/>
        <w:rPr>
          <w:b/>
          <w:bCs/>
          <w:color w:val="000000" w:themeColor="text1"/>
          <w:sz w:val="22"/>
          <w:szCs w:val="22"/>
          <w:lang w:eastAsia="zh-CN"/>
        </w:rPr>
      </w:pPr>
      <w:r w:rsidRPr="00746ED9">
        <w:rPr>
          <w:b/>
          <w:bCs/>
          <w:color w:val="000000" w:themeColor="text1"/>
          <w:sz w:val="22"/>
          <w:szCs w:val="22"/>
          <w:lang w:eastAsia="zh-CN"/>
        </w:rPr>
        <w:t>NOTICE OF PUBLIC MEETING</w:t>
      </w:r>
    </w:p>
    <w:p w14:paraId="0D1C7778" w14:textId="77777777" w:rsidR="00501CA6" w:rsidRPr="00746ED9" w:rsidRDefault="00501CA6" w:rsidP="00501CA6">
      <w:pPr>
        <w:jc w:val="both"/>
        <w:rPr>
          <w:b/>
          <w:bCs/>
          <w:color w:val="000000" w:themeColor="text1"/>
          <w:sz w:val="22"/>
          <w:szCs w:val="22"/>
          <w:lang w:eastAsia="zh-CN"/>
        </w:rPr>
      </w:pPr>
      <w:r w:rsidRPr="00746ED9">
        <w:rPr>
          <w:b/>
          <w:bCs/>
          <w:color w:val="000000" w:themeColor="text1"/>
          <w:sz w:val="22"/>
          <w:szCs w:val="22"/>
          <w:lang w:eastAsia="zh-CN"/>
        </w:rPr>
        <w:t> </w:t>
      </w:r>
    </w:p>
    <w:p w14:paraId="64EB19FB" w14:textId="77777777" w:rsidR="00BD7208" w:rsidRPr="00F23881" w:rsidRDefault="00BD7208" w:rsidP="00BD7208">
      <w:pPr>
        <w:contextualSpacing/>
        <w:jc w:val="both"/>
        <w:rPr>
          <w:sz w:val="22"/>
        </w:rPr>
      </w:pPr>
      <w:r w:rsidRPr="00F23881">
        <w:rPr>
          <w:sz w:val="22"/>
        </w:rPr>
        <w:t xml:space="preserve">The District of Columbia Office of Employee Appeals will hold a meeting on </w:t>
      </w:r>
      <w:r>
        <w:rPr>
          <w:sz w:val="22"/>
        </w:rPr>
        <w:t xml:space="preserve">December 18, 2025, </w:t>
      </w:r>
      <w:r w:rsidRPr="00F23881">
        <w:rPr>
          <w:sz w:val="22"/>
        </w:rPr>
        <w:t>at 9:30 a.m. The Board will meet remotely. Below is the agenda for the meeting.</w:t>
      </w:r>
    </w:p>
    <w:p w14:paraId="2A50A679" w14:textId="77777777" w:rsidR="00BD7208" w:rsidRPr="00F23881" w:rsidRDefault="00BD7208" w:rsidP="00BD7208">
      <w:pPr>
        <w:contextualSpacing/>
        <w:jc w:val="both"/>
        <w:rPr>
          <w:sz w:val="12"/>
          <w:szCs w:val="12"/>
        </w:rPr>
      </w:pPr>
    </w:p>
    <w:p w14:paraId="730F4632" w14:textId="77777777" w:rsidR="00BD7208" w:rsidRPr="00F23881" w:rsidRDefault="00BD7208" w:rsidP="00BD7208">
      <w:pPr>
        <w:contextualSpacing/>
        <w:jc w:val="both"/>
        <w:rPr>
          <w:sz w:val="22"/>
        </w:rPr>
      </w:pPr>
      <w:r w:rsidRPr="00F23881">
        <w:rPr>
          <w:sz w:val="22"/>
        </w:rPr>
        <w:t xml:space="preserve">Members of the public are welcome to observe the meeting. In order to attend the meeting, please visit: </w:t>
      </w:r>
    </w:p>
    <w:p w14:paraId="2C04EEFE" w14:textId="77777777" w:rsidR="00BD7208" w:rsidRPr="00F23881" w:rsidRDefault="00BD7208" w:rsidP="00BD7208">
      <w:pPr>
        <w:contextualSpacing/>
        <w:jc w:val="both"/>
        <w:rPr>
          <w:sz w:val="12"/>
          <w:szCs w:val="12"/>
        </w:rPr>
      </w:pPr>
    </w:p>
    <w:p w14:paraId="54513F71" w14:textId="77777777" w:rsidR="00BD7208" w:rsidRDefault="00BD7208" w:rsidP="00BD7208">
      <w:pPr>
        <w:contextualSpacing/>
        <w:jc w:val="both"/>
        <w:rPr>
          <w:sz w:val="22"/>
        </w:rPr>
      </w:pPr>
      <w:r w:rsidRPr="00F23881">
        <w:rPr>
          <w:sz w:val="22"/>
        </w:rPr>
        <w:t>Password: Board (26274 from phones and video systems)</w:t>
      </w:r>
    </w:p>
    <w:p w14:paraId="4BFBC298" w14:textId="67C99D68" w:rsidR="00BD7208" w:rsidRPr="00465B14" w:rsidRDefault="00BD7208" w:rsidP="00BD7208">
      <w:pPr>
        <w:contextualSpacing/>
        <w:jc w:val="both"/>
        <w:rPr>
          <w:sz w:val="12"/>
          <w:szCs w:val="12"/>
        </w:rPr>
      </w:pPr>
    </w:p>
    <w:p w14:paraId="14651451" w14:textId="77777777" w:rsidR="00BD7208" w:rsidRPr="00132B11" w:rsidRDefault="00BD7208" w:rsidP="00BD7208">
      <w:pPr>
        <w:contextualSpacing/>
        <w:jc w:val="both"/>
        <w:rPr>
          <w:sz w:val="2"/>
          <w:szCs w:val="2"/>
        </w:rPr>
      </w:pPr>
    </w:p>
    <w:p w14:paraId="04C92BC4" w14:textId="77777777" w:rsidR="00BD7208" w:rsidRDefault="00BD7208" w:rsidP="00BD7208">
      <w:pPr>
        <w:contextualSpacing/>
        <w:jc w:val="both"/>
        <w:rPr>
          <w:sz w:val="22"/>
          <w:szCs w:val="22"/>
        </w:rPr>
      </w:pPr>
      <w:hyperlink r:id="rId10" w:history="1">
        <w:r w:rsidRPr="00132B11">
          <w:rPr>
            <w:rStyle w:val="Hyperlink"/>
            <w:sz w:val="22"/>
            <w:szCs w:val="22"/>
          </w:rPr>
          <w:t>https://dcnet.webex.com/dcnet/j.php?MTID=m73fda4cbb934e6be02bf51394b486b4d</w:t>
        </w:r>
      </w:hyperlink>
    </w:p>
    <w:p w14:paraId="34A0A47E" w14:textId="77777777" w:rsidR="00BD7208" w:rsidRPr="00465B14" w:rsidRDefault="00BD7208" w:rsidP="00BD7208">
      <w:pPr>
        <w:contextualSpacing/>
        <w:jc w:val="both"/>
        <w:rPr>
          <w:sz w:val="12"/>
          <w:szCs w:val="12"/>
        </w:rPr>
      </w:pPr>
    </w:p>
    <w:p w14:paraId="7196B7BB" w14:textId="77777777" w:rsidR="00BD7208" w:rsidRPr="00F23881" w:rsidRDefault="00BD7208" w:rsidP="00BD7208">
      <w:pPr>
        <w:contextualSpacing/>
        <w:jc w:val="both"/>
        <w:rPr>
          <w:sz w:val="22"/>
        </w:rPr>
      </w:pPr>
      <w:r w:rsidRPr="00F23881">
        <w:rPr>
          <w:sz w:val="22"/>
        </w:rPr>
        <w:t>We recommend logging in ten (10) minutes before the meeting starts. In order to access Webex, laptop or desktop computer users must use Google Chrome, Firefox, or Microsoft Edge Browsers.</w:t>
      </w:r>
    </w:p>
    <w:p w14:paraId="3E138050" w14:textId="77777777" w:rsidR="00BD7208" w:rsidRPr="00F23881" w:rsidRDefault="00BD7208" w:rsidP="00BD7208">
      <w:pPr>
        <w:contextualSpacing/>
        <w:jc w:val="both"/>
        <w:rPr>
          <w:sz w:val="12"/>
          <w:szCs w:val="12"/>
        </w:rPr>
      </w:pPr>
    </w:p>
    <w:p w14:paraId="0D2E4ED0" w14:textId="77777777" w:rsidR="00BD7208" w:rsidRPr="00F23881" w:rsidRDefault="00BD7208" w:rsidP="00BD7208">
      <w:pPr>
        <w:contextualSpacing/>
        <w:jc w:val="both"/>
        <w:rPr>
          <w:sz w:val="22"/>
        </w:rPr>
      </w:pPr>
      <w:r w:rsidRPr="00F23881">
        <w:rPr>
          <w:sz w:val="22"/>
        </w:rPr>
        <w:t xml:space="preserve">Smartphone/Tablets or iPad user must first go to the App Store, download the Webex App (Cisco Webex Meetings), enter the Access Code, and enter your name, email address, and click Join. It is recommended that a laptop or desktop computer be utilized for this platform.  </w:t>
      </w:r>
    </w:p>
    <w:p w14:paraId="44923B8F" w14:textId="77777777" w:rsidR="00BD7208" w:rsidRPr="00F23881" w:rsidRDefault="00BD7208" w:rsidP="00BD7208">
      <w:pPr>
        <w:contextualSpacing/>
        <w:jc w:val="both"/>
        <w:rPr>
          <w:sz w:val="12"/>
          <w:szCs w:val="12"/>
        </w:rPr>
      </w:pPr>
    </w:p>
    <w:p w14:paraId="3903A70E" w14:textId="77777777" w:rsidR="00BD7208" w:rsidRPr="00F23881" w:rsidRDefault="00BD7208" w:rsidP="00BD7208">
      <w:pPr>
        <w:contextualSpacing/>
        <w:jc w:val="both"/>
        <w:rPr>
          <w:sz w:val="22"/>
        </w:rPr>
      </w:pPr>
      <w:r w:rsidRPr="00F23881">
        <w:rPr>
          <w:sz w:val="22"/>
        </w:rPr>
        <w:t xml:space="preserve">Your computer, tablet, or smartphone’s built-in speaker and microphone will be used in the virtual meeting unless you use a headset.  Headsets provide better sound quality and privacy.  </w:t>
      </w:r>
    </w:p>
    <w:p w14:paraId="5C2C9036" w14:textId="77777777" w:rsidR="00BD7208" w:rsidRPr="00F23881" w:rsidRDefault="00BD7208" w:rsidP="00BD7208">
      <w:pPr>
        <w:contextualSpacing/>
        <w:jc w:val="both"/>
        <w:rPr>
          <w:sz w:val="12"/>
          <w:szCs w:val="12"/>
        </w:rPr>
      </w:pPr>
    </w:p>
    <w:p w14:paraId="34A55670" w14:textId="77777777" w:rsidR="00BD7208" w:rsidRPr="00F23881" w:rsidRDefault="00BD7208" w:rsidP="00BD7208">
      <w:pPr>
        <w:contextualSpacing/>
        <w:jc w:val="both"/>
        <w:rPr>
          <w:b/>
          <w:bCs/>
          <w:sz w:val="22"/>
        </w:rPr>
      </w:pPr>
      <w:r w:rsidRPr="00F23881">
        <w:rPr>
          <w:sz w:val="22"/>
        </w:rPr>
        <w:t xml:space="preserve">If you do not have access to the internet, please call-in toll number (US/Canada) 1-650-479-3208, Access Code: </w:t>
      </w:r>
      <w:r w:rsidRPr="00132B11">
        <w:rPr>
          <w:sz w:val="22"/>
        </w:rPr>
        <w:t>2311 978 6969</w:t>
      </w:r>
    </w:p>
    <w:p w14:paraId="45F1D2F7" w14:textId="77777777" w:rsidR="00BD7208" w:rsidRPr="00F23881" w:rsidRDefault="00BD7208" w:rsidP="00BD7208">
      <w:pPr>
        <w:contextualSpacing/>
        <w:jc w:val="both"/>
        <w:rPr>
          <w:sz w:val="12"/>
          <w:szCs w:val="12"/>
        </w:rPr>
      </w:pPr>
    </w:p>
    <w:p w14:paraId="6937241F" w14:textId="77777777" w:rsidR="00BD7208" w:rsidRPr="00B83542" w:rsidRDefault="00BD7208" w:rsidP="00BD7208">
      <w:pPr>
        <w:contextualSpacing/>
        <w:jc w:val="both"/>
        <w:rPr>
          <w:sz w:val="22"/>
        </w:rPr>
      </w:pPr>
      <w:r w:rsidRPr="00F23881">
        <w:rPr>
          <w:sz w:val="22"/>
        </w:rPr>
        <w:t xml:space="preserve">Questions about the meeting may be directed to </w:t>
      </w:r>
      <w:hyperlink r:id="rId11" w:history="1">
        <w:r w:rsidRPr="00F23881">
          <w:rPr>
            <w:rStyle w:val="Hyperlink"/>
            <w:color w:val="auto"/>
            <w:sz w:val="22"/>
          </w:rPr>
          <w:t>wynter.clarke@dc.gov</w:t>
        </w:r>
      </w:hyperlink>
      <w:r w:rsidRPr="00F23881">
        <w:rPr>
          <w:sz w:val="22"/>
        </w:rPr>
        <w:t>.</w:t>
      </w:r>
    </w:p>
    <w:p w14:paraId="5F0EEE40" w14:textId="77777777" w:rsidR="00501CA6" w:rsidRPr="00E52BC3" w:rsidRDefault="00501CA6" w:rsidP="00501CA6">
      <w:pPr>
        <w:rPr>
          <w:color w:val="000000" w:themeColor="text1"/>
          <w:sz w:val="22"/>
          <w:szCs w:val="22"/>
          <w:highlight w:val="yellow"/>
          <w:lang w:eastAsia="zh-CN"/>
        </w:rPr>
      </w:pPr>
    </w:p>
    <w:p w14:paraId="5AD6F77F" w14:textId="77777777" w:rsidR="00501CA6" w:rsidRPr="00B71DF0" w:rsidRDefault="00501CA6" w:rsidP="00501CA6">
      <w:pPr>
        <w:jc w:val="center"/>
        <w:rPr>
          <w:rFonts w:eastAsia="SimSun"/>
          <w:b/>
          <w:sz w:val="22"/>
          <w:szCs w:val="22"/>
          <w:lang w:eastAsia="zh-CN"/>
        </w:rPr>
      </w:pPr>
      <w:r w:rsidRPr="00B71DF0">
        <w:rPr>
          <w:rFonts w:eastAsia="SimSun"/>
          <w:b/>
          <w:sz w:val="22"/>
          <w:szCs w:val="22"/>
          <w:lang w:eastAsia="zh-CN"/>
        </w:rPr>
        <w:t>Agenda</w:t>
      </w:r>
    </w:p>
    <w:p w14:paraId="03E1B2B5" w14:textId="77777777" w:rsidR="00501CA6" w:rsidRPr="00B71DF0" w:rsidRDefault="00501CA6" w:rsidP="00501CA6">
      <w:pPr>
        <w:jc w:val="center"/>
        <w:rPr>
          <w:rFonts w:eastAsia="SimSun"/>
          <w:sz w:val="22"/>
          <w:szCs w:val="22"/>
          <w:lang w:eastAsia="zh-CN"/>
        </w:rPr>
      </w:pPr>
      <w:r w:rsidRPr="00B71DF0">
        <w:rPr>
          <w:rFonts w:eastAsia="SimSun"/>
          <w:sz w:val="22"/>
          <w:szCs w:val="22"/>
          <w:lang w:eastAsia="zh-CN"/>
        </w:rPr>
        <w:t>D.C. OFFICE OF EMPLOYEE APPEALS (“OEA”) BOARD MEETING</w:t>
      </w:r>
    </w:p>
    <w:p w14:paraId="04918EFE" w14:textId="3655BE86" w:rsidR="00501CA6" w:rsidRPr="00B71DF0" w:rsidRDefault="00501CA6" w:rsidP="00501CA6">
      <w:pPr>
        <w:jc w:val="center"/>
        <w:rPr>
          <w:rFonts w:eastAsia="SimSun"/>
          <w:sz w:val="22"/>
          <w:szCs w:val="22"/>
          <w:lang w:eastAsia="zh-CN"/>
        </w:rPr>
      </w:pPr>
      <w:r w:rsidRPr="009C2EE4">
        <w:rPr>
          <w:rFonts w:eastAsia="SimSun"/>
          <w:sz w:val="22"/>
          <w:szCs w:val="22"/>
          <w:lang w:eastAsia="zh-CN"/>
        </w:rPr>
        <w:t xml:space="preserve">Thursday, </w:t>
      </w:r>
      <w:r>
        <w:rPr>
          <w:rFonts w:eastAsia="SimSun"/>
          <w:sz w:val="22"/>
          <w:szCs w:val="22"/>
          <w:lang w:eastAsia="zh-CN"/>
        </w:rPr>
        <w:t>December 18, 2025</w:t>
      </w:r>
      <w:r w:rsidRPr="009C2EE4">
        <w:rPr>
          <w:rFonts w:eastAsia="SimSun"/>
          <w:sz w:val="22"/>
          <w:szCs w:val="22"/>
          <w:lang w:eastAsia="zh-CN"/>
        </w:rPr>
        <w:t>, at 9:30 a.m.</w:t>
      </w:r>
    </w:p>
    <w:p w14:paraId="5F275374" w14:textId="77777777" w:rsidR="00501CA6" w:rsidRPr="00B71DF0" w:rsidRDefault="00501CA6" w:rsidP="00501CA6">
      <w:pPr>
        <w:jc w:val="center"/>
        <w:rPr>
          <w:rFonts w:eastAsia="SimSun"/>
          <w:sz w:val="22"/>
          <w:szCs w:val="22"/>
          <w:lang w:eastAsia="zh-CN"/>
        </w:rPr>
      </w:pPr>
      <w:r w:rsidRPr="00B71DF0">
        <w:rPr>
          <w:rFonts w:eastAsia="SimSun"/>
          <w:sz w:val="22"/>
          <w:szCs w:val="22"/>
          <w:lang w:eastAsia="zh-CN"/>
        </w:rPr>
        <w:t>Location: Virtual Meeting via Webex</w:t>
      </w:r>
    </w:p>
    <w:p w14:paraId="02B9774A" w14:textId="77777777" w:rsidR="00501CA6" w:rsidRPr="003B5B18" w:rsidRDefault="00501CA6" w:rsidP="00501CA6">
      <w:pPr>
        <w:jc w:val="center"/>
        <w:rPr>
          <w:rFonts w:eastAsia="SimSun"/>
          <w:sz w:val="12"/>
          <w:szCs w:val="12"/>
          <w:lang w:eastAsia="zh-CN"/>
        </w:rPr>
      </w:pPr>
    </w:p>
    <w:p w14:paraId="202205CF" w14:textId="77777777" w:rsidR="00501CA6" w:rsidRPr="00B71DF0" w:rsidRDefault="00501CA6" w:rsidP="00501CA6">
      <w:pPr>
        <w:widowControl/>
        <w:numPr>
          <w:ilvl w:val="0"/>
          <w:numId w:val="1"/>
        </w:numPr>
        <w:tabs>
          <w:tab w:val="num" w:pos="450"/>
        </w:tabs>
        <w:ind w:hanging="1080"/>
        <w:contextualSpacing/>
        <w:jc w:val="both"/>
        <w:rPr>
          <w:rFonts w:eastAsia="SimSun"/>
          <w:sz w:val="22"/>
          <w:szCs w:val="22"/>
          <w:lang w:eastAsia="zh-CN"/>
        </w:rPr>
      </w:pPr>
      <w:r w:rsidRPr="00B71DF0">
        <w:rPr>
          <w:rFonts w:eastAsia="SimSun"/>
          <w:b/>
          <w:sz w:val="22"/>
          <w:szCs w:val="22"/>
          <w:lang w:eastAsia="zh-CN"/>
        </w:rPr>
        <w:t xml:space="preserve">Call to Order </w:t>
      </w:r>
    </w:p>
    <w:p w14:paraId="5445AB52" w14:textId="77777777" w:rsidR="00501CA6" w:rsidRPr="00A012BA" w:rsidRDefault="00501CA6" w:rsidP="00501CA6">
      <w:pPr>
        <w:ind w:left="1080"/>
        <w:contextualSpacing/>
        <w:jc w:val="both"/>
        <w:rPr>
          <w:rFonts w:eastAsia="SimSun"/>
          <w:sz w:val="12"/>
          <w:szCs w:val="12"/>
          <w:lang w:eastAsia="zh-CN"/>
        </w:rPr>
      </w:pPr>
    </w:p>
    <w:p w14:paraId="0FCA4075" w14:textId="77777777" w:rsidR="00501CA6" w:rsidRPr="00B71DF0" w:rsidRDefault="00501CA6" w:rsidP="00501CA6">
      <w:pPr>
        <w:widowControl/>
        <w:numPr>
          <w:ilvl w:val="0"/>
          <w:numId w:val="1"/>
        </w:numPr>
        <w:tabs>
          <w:tab w:val="num" w:pos="450"/>
          <w:tab w:val="num" w:pos="720"/>
          <w:tab w:val="left" w:pos="900"/>
        </w:tabs>
        <w:ind w:hanging="1080"/>
        <w:contextualSpacing/>
        <w:jc w:val="both"/>
        <w:rPr>
          <w:rFonts w:eastAsia="SimSun"/>
          <w:sz w:val="22"/>
          <w:szCs w:val="22"/>
          <w:lang w:eastAsia="zh-CN"/>
        </w:rPr>
      </w:pPr>
      <w:r w:rsidRPr="00B71DF0">
        <w:rPr>
          <w:rFonts w:eastAsia="SimSun"/>
          <w:b/>
          <w:sz w:val="22"/>
          <w:szCs w:val="22"/>
          <w:lang w:eastAsia="zh-CN"/>
        </w:rPr>
        <w:t>Ascertainment of Quorum</w:t>
      </w:r>
    </w:p>
    <w:p w14:paraId="5D178FE9" w14:textId="77777777" w:rsidR="00501CA6" w:rsidRPr="00A012BA" w:rsidRDefault="00501CA6" w:rsidP="00501CA6">
      <w:pPr>
        <w:ind w:left="720"/>
        <w:contextualSpacing/>
        <w:rPr>
          <w:rFonts w:eastAsia="SimSun"/>
          <w:sz w:val="12"/>
          <w:szCs w:val="12"/>
          <w:lang w:eastAsia="zh-CN"/>
        </w:rPr>
      </w:pPr>
    </w:p>
    <w:p w14:paraId="6BF8BB74" w14:textId="77777777" w:rsidR="00501CA6" w:rsidRPr="00B71DF0" w:rsidRDefault="00501CA6" w:rsidP="00501CA6">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Adoption of Agenda</w:t>
      </w:r>
    </w:p>
    <w:p w14:paraId="403C3ADD" w14:textId="77777777" w:rsidR="00501CA6" w:rsidRPr="00A012BA" w:rsidRDefault="00501CA6" w:rsidP="00501CA6">
      <w:pPr>
        <w:ind w:left="1080"/>
        <w:contextualSpacing/>
        <w:jc w:val="both"/>
        <w:rPr>
          <w:rFonts w:eastAsia="SimSun"/>
          <w:sz w:val="12"/>
          <w:szCs w:val="12"/>
          <w:lang w:eastAsia="zh-CN"/>
        </w:rPr>
      </w:pPr>
    </w:p>
    <w:p w14:paraId="61AB1583" w14:textId="77777777" w:rsidR="00501CA6" w:rsidRPr="00B71DF0" w:rsidRDefault="00501CA6" w:rsidP="00501CA6">
      <w:pPr>
        <w:widowControl/>
        <w:numPr>
          <w:ilvl w:val="0"/>
          <w:numId w:val="1"/>
        </w:numPr>
        <w:tabs>
          <w:tab w:val="num" w:pos="450"/>
        </w:tabs>
        <w:ind w:hanging="1080"/>
        <w:jc w:val="both"/>
        <w:rPr>
          <w:rFonts w:eastAsia="SimSun"/>
          <w:b/>
          <w:sz w:val="22"/>
          <w:szCs w:val="22"/>
          <w:lang w:eastAsia="zh-CN"/>
        </w:rPr>
      </w:pPr>
      <w:r w:rsidRPr="00B71DF0">
        <w:rPr>
          <w:rFonts w:eastAsia="SimSun"/>
          <w:b/>
          <w:sz w:val="22"/>
          <w:szCs w:val="22"/>
          <w:lang w:eastAsia="zh-CN"/>
        </w:rPr>
        <w:t>Minutes Reviewed from Previous Meeting</w:t>
      </w:r>
    </w:p>
    <w:p w14:paraId="7B652BA3" w14:textId="77777777" w:rsidR="00501CA6" w:rsidRPr="00A012BA" w:rsidRDefault="00501CA6" w:rsidP="00501CA6">
      <w:pPr>
        <w:tabs>
          <w:tab w:val="left" w:pos="1133"/>
        </w:tabs>
        <w:jc w:val="both"/>
        <w:rPr>
          <w:rFonts w:eastAsia="Calibri"/>
          <w:sz w:val="12"/>
          <w:szCs w:val="12"/>
        </w:rPr>
      </w:pPr>
      <w:r w:rsidRPr="00B71DF0">
        <w:rPr>
          <w:rFonts w:eastAsia="Calibri"/>
          <w:sz w:val="22"/>
          <w:szCs w:val="22"/>
        </w:rPr>
        <w:tab/>
      </w:r>
    </w:p>
    <w:p w14:paraId="7347FF60" w14:textId="77777777" w:rsidR="00501CA6" w:rsidRPr="00B71DF0" w:rsidRDefault="00501CA6" w:rsidP="00501CA6">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New Business</w:t>
      </w:r>
    </w:p>
    <w:p w14:paraId="2C1D0D1F" w14:textId="77777777" w:rsidR="00501CA6" w:rsidRPr="00E41D8F" w:rsidRDefault="00501CA6" w:rsidP="00501CA6">
      <w:pPr>
        <w:contextualSpacing/>
        <w:jc w:val="both"/>
        <w:rPr>
          <w:rFonts w:eastAsia="SimSun"/>
          <w:sz w:val="12"/>
          <w:szCs w:val="12"/>
          <w:lang w:eastAsia="zh-CN"/>
        </w:rPr>
      </w:pPr>
    </w:p>
    <w:p w14:paraId="718D32DA" w14:textId="77777777" w:rsidR="00501CA6" w:rsidRPr="00B71DF0" w:rsidRDefault="00501CA6" w:rsidP="00501CA6">
      <w:pPr>
        <w:widowControl/>
        <w:numPr>
          <w:ilvl w:val="1"/>
          <w:numId w:val="1"/>
        </w:numPr>
        <w:tabs>
          <w:tab w:val="num" w:pos="900"/>
        </w:tabs>
        <w:ind w:hanging="990"/>
        <w:contextualSpacing/>
        <w:jc w:val="both"/>
        <w:rPr>
          <w:rFonts w:eastAsia="SimSun"/>
          <w:b/>
          <w:sz w:val="22"/>
          <w:szCs w:val="22"/>
          <w:lang w:eastAsia="zh-CN"/>
        </w:rPr>
      </w:pPr>
      <w:r w:rsidRPr="00B71DF0">
        <w:rPr>
          <w:rFonts w:eastAsia="SimSun"/>
          <w:b/>
          <w:sz w:val="22"/>
          <w:szCs w:val="22"/>
          <w:lang w:eastAsia="zh-CN"/>
        </w:rPr>
        <w:t>Public Comments on Petitions for Review</w:t>
      </w:r>
    </w:p>
    <w:p w14:paraId="50E4D82B" w14:textId="77777777" w:rsidR="00501CA6" w:rsidRPr="00A012BA" w:rsidRDefault="00501CA6" w:rsidP="00501CA6">
      <w:pPr>
        <w:tabs>
          <w:tab w:val="num" w:pos="1440"/>
        </w:tabs>
        <w:ind w:left="1440"/>
        <w:contextualSpacing/>
        <w:jc w:val="both"/>
        <w:rPr>
          <w:rFonts w:eastAsia="SimSun"/>
          <w:b/>
          <w:sz w:val="12"/>
          <w:szCs w:val="12"/>
          <w:lang w:eastAsia="zh-CN"/>
        </w:rPr>
      </w:pPr>
    </w:p>
    <w:p w14:paraId="7645D6F0" w14:textId="77777777" w:rsidR="00501CA6" w:rsidRDefault="00501CA6" w:rsidP="00501CA6">
      <w:pPr>
        <w:widowControl/>
        <w:numPr>
          <w:ilvl w:val="1"/>
          <w:numId w:val="1"/>
        </w:numPr>
        <w:tabs>
          <w:tab w:val="num" w:pos="900"/>
        </w:tabs>
        <w:ind w:hanging="990"/>
        <w:contextualSpacing/>
        <w:jc w:val="both"/>
        <w:rPr>
          <w:rFonts w:eastAsia="SimSun"/>
          <w:b/>
          <w:sz w:val="22"/>
          <w:szCs w:val="22"/>
          <w:lang w:eastAsia="zh-CN"/>
        </w:rPr>
      </w:pPr>
      <w:r w:rsidRPr="00CB2B33">
        <w:rPr>
          <w:rFonts w:eastAsia="SimSun"/>
          <w:b/>
          <w:sz w:val="22"/>
          <w:szCs w:val="22"/>
          <w:lang w:eastAsia="zh-CN"/>
        </w:rPr>
        <w:t>Summary of Cases</w:t>
      </w:r>
    </w:p>
    <w:p w14:paraId="7053B5E9" w14:textId="77777777" w:rsidR="00501CA6" w:rsidRPr="00E60A68" w:rsidRDefault="00501CA6" w:rsidP="00501CA6">
      <w:pPr>
        <w:pStyle w:val="ListParagraph"/>
        <w:rPr>
          <w:rFonts w:eastAsia="SimSun"/>
          <w:b/>
          <w:sz w:val="12"/>
          <w:szCs w:val="12"/>
          <w:lang w:eastAsia="zh-CN"/>
        </w:rPr>
      </w:pPr>
    </w:p>
    <w:p w14:paraId="133A609F" w14:textId="03069235" w:rsidR="00E60A68" w:rsidRPr="00E60A68" w:rsidRDefault="00501CA6" w:rsidP="00E60A68">
      <w:pPr>
        <w:pStyle w:val="ListParagraph"/>
        <w:numPr>
          <w:ilvl w:val="2"/>
          <w:numId w:val="1"/>
        </w:numPr>
        <w:jc w:val="both"/>
        <w:rPr>
          <w:sz w:val="22"/>
          <w:szCs w:val="22"/>
          <w14:ligatures w14:val="none"/>
        </w:rPr>
      </w:pPr>
      <w:r w:rsidRPr="00E60A68">
        <w:rPr>
          <w:rFonts w:eastAsia="SimSun"/>
          <w:b/>
          <w:sz w:val="22"/>
          <w:szCs w:val="22"/>
          <w:lang w:eastAsia="zh-CN"/>
        </w:rPr>
        <w:t xml:space="preserve">Employee v. </w:t>
      </w:r>
      <w:r w:rsidR="005D25E7" w:rsidRPr="00E60A68">
        <w:rPr>
          <w:b/>
          <w:bCs/>
          <w:sz w:val="22"/>
          <w:szCs w:val="22"/>
        </w:rPr>
        <w:t>D.C. Fire and Emergency Medical Services Department</w:t>
      </w:r>
      <w:r w:rsidRPr="00E60A68">
        <w:rPr>
          <w:rFonts w:eastAsia="SimSun"/>
          <w:b/>
          <w:sz w:val="22"/>
          <w:szCs w:val="22"/>
          <w:lang w:eastAsia="zh-CN"/>
        </w:rPr>
        <w:t xml:space="preserve">, OEA Matter No. </w:t>
      </w:r>
      <w:r w:rsidRPr="005C20D5">
        <w:rPr>
          <w:b/>
          <w:bCs/>
          <w:sz w:val="22"/>
          <w:szCs w:val="22"/>
        </w:rPr>
        <w:t>1601-00</w:t>
      </w:r>
      <w:r w:rsidR="005D25E7" w:rsidRPr="005C20D5">
        <w:rPr>
          <w:b/>
          <w:bCs/>
          <w:sz w:val="22"/>
          <w:szCs w:val="22"/>
        </w:rPr>
        <w:t>22</w:t>
      </w:r>
      <w:r w:rsidRPr="005C20D5">
        <w:rPr>
          <w:b/>
          <w:bCs/>
          <w:sz w:val="22"/>
          <w:szCs w:val="22"/>
        </w:rPr>
        <w:t>-2</w:t>
      </w:r>
      <w:r w:rsidR="005D25E7" w:rsidRPr="005C20D5">
        <w:rPr>
          <w:b/>
          <w:bCs/>
          <w:sz w:val="22"/>
          <w:szCs w:val="22"/>
        </w:rPr>
        <w:t>5</w:t>
      </w:r>
      <w:r w:rsidRPr="005C20D5">
        <w:rPr>
          <w:b/>
          <w:bCs/>
          <w:sz w:val="22"/>
          <w:szCs w:val="22"/>
        </w:rPr>
        <w:t xml:space="preserve"> –</w:t>
      </w:r>
      <w:r w:rsidR="00A8441A" w:rsidRPr="005C20D5">
        <w:rPr>
          <w:b/>
          <w:bCs/>
          <w:sz w:val="22"/>
          <w:szCs w:val="22"/>
        </w:rPr>
        <w:t xml:space="preserve">- </w:t>
      </w:r>
      <w:r w:rsidR="00E60A68" w:rsidRPr="00E60A68">
        <w:rPr>
          <w:sz w:val="22"/>
          <w:szCs w:val="22"/>
          <w14:ligatures w14:val="none"/>
        </w:rPr>
        <w:t>Employee worked as a Firefighter/Paramedic with the D.C. Fire and Emergency Medical Services Department (“Agency”). On January 3, 2025, Agency served Employee with a Final Agency Decision charging him with neglect of duty – violating the Department’s protocols and making false statements during a Departmental investigation. According to Agency, on October 30, 2023, while on duty Employee was observed administering an intramuscular (“IM”) Narcan injection through multiple layers of the patient’s clothing without conducting an assessment. Another Firefighter/Emergency Medical Technician filed a complaint with Agency regarding Employee’s misconduct. During the investigation, Agency secured footage of a body-</w:t>
      </w:r>
      <w:r w:rsidR="00E60A68" w:rsidRPr="00E60A68">
        <w:rPr>
          <w:sz w:val="22"/>
          <w:szCs w:val="22"/>
          <w14:ligatures w14:val="none"/>
        </w:rPr>
        <w:lastRenderedPageBreak/>
        <w:t>worn camera showing Employee’s actions. Subsequently, he was terminated effective on January 18, 2025.</w:t>
      </w:r>
    </w:p>
    <w:p w14:paraId="41996BE2" w14:textId="77777777" w:rsidR="00E60A68" w:rsidRPr="00F160FD" w:rsidRDefault="00E60A68" w:rsidP="00E60A68">
      <w:pPr>
        <w:contextualSpacing/>
        <w:jc w:val="both"/>
        <w:rPr>
          <w:sz w:val="12"/>
          <w:szCs w:val="12"/>
          <w14:ligatures w14:val="none"/>
        </w:rPr>
      </w:pPr>
    </w:p>
    <w:p w14:paraId="35CC98D1" w14:textId="77777777" w:rsidR="00E60A68" w:rsidRPr="0093006C" w:rsidRDefault="00E60A68" w:rsidP="00E60A68">
      <w:pPr>
        <w:ind w:left="1620"/>
        <w:contextualSpacing/>
        <w:jc w:val="both"/>
        <w:rPr>
          <w:sz w:val="22"/>
          <w:szCs w:val="22"/>
          <w14:ligatures w14:val="none"/>
        </w:rPr>
      </w:pPr>
      <w:r w:rsidRPr="0093006C">
        <w:rPr>
          <w:sz w:val="22"/>
          <w:szCs w:val="22"/>
          <w14:ligatures w14:val="none"/>
        </w:rPr>
        <w:t>On January 31, 2025, Employee filed a Petition for Appeal with the Office of Employee Appeals (“OEA”). He acknowledged administering the Narcan through the patient’s clothing. However, Employee argued that administering Narcan through clothing was a common practice among other paramedics at Agency. Additionally, he claimed that the patient suffered no adverse effects from the injection.  Employee contended that he should have gone through retraining instead of being charged with the adverse action and brought before the Fire Trial Board (“FTB”). He explained that when Agency considered its penalty, his adverse action was compared with two other cases that were not similarly situated to his.  As a result, Employee requested that he be reinstated to his previous position.</w:t>
      </w:r>
    </w:p>
    <w:p w14:paraId="050F49FE" w14:textId="77777777" w:rsidR="00E60A68" w:rsidRPr="00F160FD" w:rsidRDefault="00E60A68" w:rsidP="00E60A68">
      <w:pPr>
        <w:contextualSpacing/>
        <w:jc w:val="both"/>
        <w:rPr>
          <w:sz w:val="12"/>
          <w:szCs w:val="12"/>
          <w14:ligatures w14:val="none"/>
        </w:rPr>
      </w:pPr>
    </w:p>
    <w:p w14:paraId="3696545D" w14:textId="77777777" w:rsidR="00E60A68" w:rsidRPr="0093006C" w:rsidRDefault="00E60A68" w:rsidP="00E60A68">
      <w:pPr>
        <w:ind w:left="1620"/>
        <w:contextualSpacing/>
        <w:jc w:val="both"/>
        <w:rPr>
          <w:sz w:val="22"/>
          <w:szCs w:val="22"/>
          <w14:ligatures w14:val="none"/>
        </w:rPr>
      </w:pPr>
      <w:r w:rsidRPr="0093006C">
        <w:rPr>
          <w:sz w:val="22"/>
          <w:szCs w:val="22"/>
          <w14:ligatures w14:val="none"/>
        </w:rPr>
        <w:t xml:space="preserve">Agency filed its Answer to Employee’s Petition for Appeal on February 26, 2025. It argued that Employee’s admission of misconduct warranted termination. Agency contended that Employee’s gross negligence of administering IM injections through clothing on multiple occasions contradicts its written policies and protocols in paramedic training. Additionally, it </w:t>
      </w:r>
      <w:proofErr w:type="gramStart"/>
      <w:r w:rsidRPr="0093006C">
        <w:rPr>
          <w:sz w:val="22"/>
          <w:szCs w:val="22"/>
          <w14:ligatures w14:val="none"/>
        </w:rPr>
        <w:t>opined</w:t>
      </w:r>
      <w:proofErr w:type="gramEnd"/>
      <w:r w:rsidRPr="0093006C">
        <w:rPr>
          <w:sz w:val="22"/>
          <w:szCs w:val="22"/>
          <w14:ligatures w14:val="none"/>
        </w:rPr>
        <w:t xml:space="preserve"> that Agency’s FTB considered the </w:t>
      </w:r>
      <w:r w:rsidRPr="0093006C">
        <w:rPr>
          <w:i/>
          <w:iCs/>
          <w:sz w:val="22"/>
          <w:szCs w:val="22"/>
          <w14:ligatures w14:val="none"/>
        </w:rPr>
        <w:t>Dougla</w:t>
      </w:r>
      <w:r>
        <w:rPr>
          <w:i/>
          <w:iCs/>
          <w:sz w:val="22"/>
          <w:szCs w:val="22"/>
          <w14:ligatures w14:val="none"/>
        </w:rPr>
        <w:t>s</w:t>
      </w:r>
      <w:r w:rsidRPr="0093006C">
        <w:rPr>
          <w:sz w:val="22"/>
          <w:szCs w:val="22"/>
          <w14:ligatures w14:val="none"/>
        </w:rPr>
        <w:t xml:space="preserve"> factors before reaching its decision to terminate Employee. As a result, Agency requested that Employee’s removal action be upheld.</w:t>
      </w:r>
    </w:p>
    <w:p w14:paraId="402F4B60" w14:textId="77777777" w:rsidR="00E60A68" w:rsidRPr="00F160FD" w:rsidRDefault="00E60A68" w:rsidP="00E60A68">
      <w:pPr>
        <w:contextualSpacing/>
        <w:jc w:val="both"/>
        <w:rPr>
          <w:sz w:val="12"/>
          <w:szCs w:val="12"/>
          <w14:ligatures w14:val="none"/>
        </w:rPr>
      </w:pPr>
    </w:p>
    <w:p w14:paraId="716B88AD" w14:textId="77777777" w:rsidR="00E60A68" w:rsidRPr="0093006C" w:rsidRDefault="00E60A68" w:rsidP="00E60A68">
      <w:pPr>
        <w:ind w:left="1620"/>
        <w:contextualSpacing/>
        <w:jc w:val="both"/>
        <w:rPr>
          <w:sz w:val="22"/>
          <w:szCs w:val="22"/>
          <w14:ligatures w14:val="none"/>
        </w:rPr>
      </w:pPr>
      <w:r w:rsidRPr="0093006C">
        <w:rPr>
          <w:sz w:val="22"/>
          <w:szCs w:val="22"/>
          <w14:ligatures w14:val="none"/>
        </w:rPr>
        <w:t xml:space="preserve">The OEA Administrative Judge (“AJ”) issued a Post-Status Conference Order on April 1, 2025. </w:t>
      </w:r>
      <w:r w:rsidRPr="0093006C">
        <w:rPr>
          <w:sz w:val="22"/>
          <w:szCs w:val="22"/>
        </w:rPr>
        <w:t>The order requested that the parties submit briefs addressing (1) whether the adverse action taken against Employee was supported by substantial evidence; (2) whether there was harmful procedural error with the Trial Board’s decision; and (3) whether Agency’s action was done in accordance with all applicable laws and regulations.</w:t>
      </w:r>
      <w:r w:rsidRPr="0093006C">
        <w:rPr>
          <w:sz w:val="22"/>
          <w:szCs w:val="22"/>
          <w14:ligatures w14:val="none"/>
        </w:rPr>
        <w:t xml:space="preserve"> Agency timely filed its brief. However, Employee failed to provide a timely submission.  Consequently, the AJ issued an Order for Good Cause Statement, in which Employee was required to submit his brief, along with a statement for good cause by June 23, 2025, for his failure to comply with the April 1, 2025, Order.</w:t>
      </w:r>
    </w:p>
    <w:p w14:paraId="456736C7" w14:textId="77777777" w:rsidR="00E60A68" w:rsidRPr="00F160FD" w:rsidRDefault="00E60A68" w:rsidP="00E60A68">
      <w:pPr>
        <w:contextualSpacing/>
        <w:jc w:val="both"/>
        <w:rPr>
          <w:sz w:val="12"/>
          <w:szCs w:val="12"/>
          <w14:ligatures w14:val="none"/>
        </w:rPr>
      </w:pPr>
    </w:p>
    <w:p w14:paraId="23AD59B8" w14:textId="5BE29322" w:rsidR="00E60A68" w:rsidRPr="0093006C" w:rsidRDefault="00E60A68" w:rsidP="00E60A68">
      <w:pPr>
        <w:ind w:left="1620"/>
        <w:contextualSpacing/>
        <w:jc w:val="both"/>
        <w:rPr>
          <w:sz w:val="22"/>
          <w:szCs w:val="22"/>
          <w14:ligatures w14:val="none"/>
        </w:rPr>
      </w:pPr>
      <w:r w:rsidRPr="0093006C">
        <w:rPr>
          <w:sz w:val="22"/>
          <w:szCs w:val="22"/>
          <w14:ligatures w14:val="none"/>
        </w:rPr>
        <w:t>The AJ issued an Initial Decision on June 25, 2025. She held that in accordance with OEA Rule 624.3, an Administrative Judge has the authority to impose sanctions upon parties as necessary to serve the ends of justice. The AJ noted that the failure to take reasonable steps to prosecute or defend an appeal includes failure to submit required documents after being provided</w:t>
      </w:r>
      <w:r>
        <w:rPr>
          <w:sz w:val="22"/>
          <w:szCs w:val="22"/>
          <w14:ligatures w14:val="none"/>
        </w:rPr>
        <w:t xml:space="preserve"> </w:t>
      </w:r>
      <w:r w:rsidRPr="0093006C">
        <w:rPr>
          <w:sz w:val="22"/>
          <w:szCs w:val="22"/>
          <w14:ligatures w14:val="none"/>
        </w:rPr>
        <w:t xml:space="preserve">with a deadline for such submission. The </w:t>
      </w:r>
      <w:r w:rsidR="005C20D5" w:rsidRPr="0093006C">
        <w:rPr>
          <w:sz w:val="22"/>
          <w:szCs w:val="22"/>
          <w14:ligatures w14:val="none"/>
        </w:rPr>
        <w:t xml:space="preserve">AJ </w:t>
      </w:r>
      <w:r w:rsidR="005C20D5">
        <w:rPr>
          <w:sz w:val="22"/>
          <w:szCs w:val="22"/>
          <w14:ligatures w14:val="none"/>
        </w:rPr>
        <w:t>concluded</w:t>
      </w:r>
      <w:r w:rsidRPr="0093006C">
        <w:rPr>
          <w:sz w:val="22"/>
          <w:szCs w:val="22"/>
          <w14:ligatures w14:val="none"/>
        </w:rPr>
        <w:t xml:space="preserve"> that Employee failed to submit his brief by the prescribed deadline and failed to provide a written response to the Order for Statement of Good Cause, to her June 9, 2025, Order. She opined that Employee did not exercise the diligence expectant of an appellant pursuing an appeal before this Office.  Consequently, the AJ dismissed the matter for Employee’s failure to prosecute his appeal.</w:t>
      </w:r>
    </w:p>
    <w:p w14:paraId="4C57B120" w14:textId="77777777" w:rsidR="00E60A68" w:rsidRPr="00F160FD" w:rsidRDefault="00E60A68" w:rsidP="00E60A68">
      <w:pPr>
        <w:contextualSpacing/>
        <w:jc w:val="both"/>
        <w:rPr>
          <w:sz w:val="12"/>
          <w:szCs w:val="12"/>
          <w14:ligatures w14:val="none"/>
        </w:rPr>
      </w:pPr>
    </w:p>
    <w:p w14:paraId="5B32E4D3" w14:textId="77777777" w:rsidR="00E60A68" w:rsidRPr="0093006C" w:rsidRDefault="00E60A68" w:rsidP="00E60A68">
      <w:pPr>
        <w:ind w:left="1620"/>
        <w:contextualSpacing/>
        <w:jc w:val="both"/>
        <w:rPr>
          <w:sz w:val="22"/>
          <w:szCs w:val="22"/>
          <w14:ligatures w14:val="none"/>
        </w:rPr>
      </w:pPr>
      <w:r w:rsidRPr="0093006C">
        <w:rPr>
          <w:sz w:val="22"/>
          <w:szCs w:val="22"/>
          <w14:ligatures w14:val="none"/>
        </w:rPr>
        <w:t>Employee filed a Petition for Review on July 25, 2025. He asserts that he did not intentionally fail to submit his brief on time. Employee explains that on May 30, 2025, he emailed an Unopposed Motion for Modification of Briefing Schedule, requesting an extension of the filing deadline to July 7, 2025, instead of the original June 3, 2025, deadline. According to Employee, he intended to file his brief by July 7</w:t>
      </w:r>
      <w:r w:rsidRPr="0093006C">
        <w:rPr>
          <w:sz w:val="22"/>
          <w:szCs w:val="22"/>
          <w:vertAlign w:val="superscript"/>
          <w14:ligatures w14:val="none"/>
        </w:rPr>
        <w:t>th</w:t>
      </w:r>
      <w:r w:rsidRPr="0093006C">
        <w:rPr>
          <w:sz w:val="22"/>
          <w:szCs w:val="22"/>
          <w14:ligatures w14:val="none"/>
        </w:rPr>
        <w:t>.  He argues that Agency already filed its brief and agreed to him modifying the deadline for him to file his brief. Thus, Employee asserts that Agency would not be prejudiced if he was allowed to file his brief. However, he contends that he would suffer prejudice if this appeal was dismissed. As a result, Employee requests that the Board grant his Petition for Review.</w:t>
      </w:r>
    </w:p>
    <w:p w14:paraId="4A816870" w14:textId="77777777" w:rsidR="00E60A68" w:rsidRPr="00F160FD" w:rsidRDefault="00E60A68" w:rsidP="00E60A68">
      <w:pPr>
        <w:contextualSpacing/>
        <w:jc w:val="both"/>
        <w:rPr>
          <w:sz w:val="12"/>
          <w:szCs w:val="12"/>
          <w14:ligatures w14:val="none"/>
        </w:rPr>
      </w:pPr>
    </w:p>
    <w:p w14:paraId="5F4A3ED8" w14:textId="34122B32" w:rsidR="00501CA6" w:rsidRDefault="00E60A68" w:rsidP="00002E26">
      <w:pPr>
        <w:ind w:left="1620"/>
        <w:contextualSpacing/>
        <w:jc w:val="both"/>
        <w:rPr>
          <w:sz w:val="22"/>
          <w:szCs w:val="22"/>
          <w14:ligatures w14:val="none"/>
        </w:rPr>
      </w:pPr>
      <w:r w:rsidRPr="0093006C">
        <w:rPr>
          <w:sz w:val="22"/>
          <w:szCs w:val="22"/>
          <w14:ligatures w14:val="none"/>
        </w:rPr>
        <w:lastRenderedPageBreak/>
        <w:t xml:space="preserve">In response, Agency asserts that Employee failed to respond to the AJ’s order to show cause. It also asserts that Employee’s email to the AJ failed to comply with OEA’s filing requirements under 6-B DCMR § 608.8. Agency contends that if the Board granted the Petition for Review and remanded the matter, it would be prejudicial to Agency because if Agency prevailed on the merits it would have to expend the resources to defend its adverse action. However, if Employee prevails Agency claims it would be required to reinstate him with backpay. As a result, it requests that Employee’s Petition for Review be denied. </w:t>
      </w:r>
    </w:p>
    <w:p w14:paraId="559B0905" w14:textId="77777777" w:rsidR="00002E26" w:rsidRPr="00002E26" w:rsidRDefault="00002E26" w:rsidP="00002E26">
      <w:pPr>
        <w:ind w:left="1620"/>
        <w:contextualSpacing/>
        <w:jc w:val="both"/>
        <w:rPr>
          <w:sz w:val="12"/>
          <w:szCs w:val="12"/>
        </w:rPr>
      </w:pPr>
    </w:p>
    <w:p w14:paraId="2744AC6D" w14:textId="1E33646F" w:rsidR="00002E26" w:rsidRPr="00002E26" w:rsidRDefault="00501CA6" w:rsidP="00002E26">
      <w:pPr>
        <w:pStyle w:val="ListParagraph"/>
        <w:widowControl/>
        <w:numPr>
          <w:ilvl w:val="2"/>
          <w:numId w:val="1"/>
        </w:numPr>
        <w:spacing w:after="160"/>
        <w:jc w:val="both"/>
        <w:rPr>
          <w:sz w:val="22"/>
          <w:szCs w:val="22"/>
        </w:rPr>
      </w:pPr>
      <w:r w:rsidRPr="00002E26">
        <w:rPr>
          <w:rFonts w:eastAsia="SimSun"/>
          <w:b/>
          <w:sz w:val="22"/>
          <w:szCs w:val="22"/>
          <w:lang w:eastAsia="zh-CN"/>
        </w:rPr>
        <w:t>Employee v.</w:t>
      </w:r>
      <w:r w:rsidR="005D25E7" w:rsidRPr="00002E26">
        <w:rPr>
          <w:rFonts w:eastAsia="SimSun"/>
          <w:b/>
          <w:sz w:val="22"/>
          <w:szCs w:val="22"/>
          <w:lang w:eastAsia="zh-CN"/>
        </w:rPr>
        <w:t xml:space="preserve"> Metropolitan Police Department, OEA Matter No.</w:t>
      </w:r>
      <w:r w:rsidR="00A8441A" w:rsidRPr="00002E26">
        <w:rPr>
          <w:rFonts w:eastAsia="SimSun"/>
          <w:b/>
          <w:sz w:val="22"/>
          <w:szCs w:val="22"/>
          <w:lang w:eastAsia="zh-CN"/>
        </w:rPr>
        <w:t xml:space="preserve"> 1601-0006-25 — </w:t>
      </w:r>
      <w:r w:rsidR="00002E26" w:rsidRPr="00002E26">
        <w:rPr>
          <w:sz w:val="22"/>
          <w:szCs w:val="22"/>
        </w:rPr>
        <w:t>Employee worked as a Police Officer for the Metropolitan Police Department (“Agency”). Agency issued its Notice of Proposed Indefinite Suspension Without Pay on July 9, 2024.  The proposed notice charged Employee with (1) violation of General Order 120.21, Number 21, Attachment A, Number 7: “conviction of any member of the force in any court . . . of any offense in which the member either pleads guilty, receives a verdict of guilty or a conviction following a plea of nolo contender, or is deemed to have been involved in the commission of any act which constitute a crime . . . .” and (2) violation of General Order 201.09, Section II (A)(1), and Mayor’s Order 2023-131 Section III(D)(8), (12) and (14), and Section III(E). However, in its final notice, Agency changed the first charge to violation of General Order 120.21, Attachment A, Number 6: “conduct described . . . is prohibited and shall serve as the basis for discipline: engaging in conduct that constitutes a crime.” The second charge was unchanged. According to Agency, on July 3, 2024, while on duty, Employee approached the driver’s side door of Officer AL’s car, reached inside the window, and grabbed Officer AL by her vest. Agency explained that Officer AL pushed Employee away and yelled, “Get off me!” Employee again reached inside and grabbed Officer AL by her vest and pulled her close to his face and opened his mouth. On August 13, 2024, Agency issued its Final Notice of Suspension Without Pay. The effective date of Employee’s suspension was October 2, 2024.</w:t>
      </w:r>
    </w:p>
    <w:p w14:paraId="22E118A9" w14:textId="77777777" w:rsidR="00002E26" w:rsidRPr="00465C1D" w:rsidRDefault="00002E26" w:rsidP="00002E26">
      <w:pPr>
        <w:widowControl/>
        <w:spacing w:after="160"/>
        <w:ind w:left="1620"/>
        <w:contextualSpacing/>
        <w:jc w:val="both"/>
        <w:rPr>
          <w:sz w:val="22"/>
          <w:szCs w:val="22"/>
        </w:rPr>
      </w:pPr>
      <w:r w:rsidRPr="00465C1D">
        <w:rPr>
          <w:sz w:val="22"/>
          <w:szCs w:val="22"/>
        </w:rPr>
        <w:t>On October 16, 2024, Employee filed a Petition for Appeal with the Office of Employee Appeals (“OEA”). He asserted that Agency’s adverse action was taken without cause, was arbitrary and capricious, violated his due process rights, and violated the Collective Bargaining Agreement (“CBA”) between Agency and the D.C. Police Union. As a result, he requested that Agency’s action be reversed; that he receive back pay and benefits lost as a result of the suspension; that he be awarded attorney’s fees; and that he be permitted to work in outside employment.</w:t>
      </w:r>
    </w:p>
    <w:p w14:paraId="307BBE46" w14:textId="77777777" w:rsidR="00002E26" w:rsidRDefault="00002E26" w:rsidP="00002E26">
      <w:pPr>
        <w:contextualSpacing/>
        <w:jc w:val="both"/>
        <w:rPr>
          <w:sz w:val="22"/>
          <w:szCs w:val="22"/>
        </w:rPr>
      </w:pPr>
    </w:p>
    <w:p w14:paraId="163F43B9" w14:textId="77777777" w:rsidR="00002E26" w:rsidRPr="00465C1D" w:rsidRDefault="00002E26" w:rsidP="00002E26">
      <w:pPr>
        <w:widowControl/>
        <w:spacing w:after="160"/>
        <w:ind w:left="1620"/>
        <w:contextualSpacing/>
        <w:jc w:val="both"/>
        <w:rPr>
          <w:sz w:val="22"/>
          <w:szCs w:val="22"/>
        </w:rPr>
      </w:pPr>
      <w:r w:rsidRPr="00465C1D">
        <w:rPr>
          <w:sz w:val="22"/>
          <w:szCs w:val="22"/>
        </w:rPr>
        <w:t>Agency filed its Answer to the Petition for Appeal on November 15, 2024. It contended that its penalty was warranted on its belief that Employee engaged in criminal conduct.  Agency explained that on August 29, 2024, an arrest warrant was obtained for Employee in the Superior Court of the District of Columbia. According to Agency, Employee was charged with assault in violation of D.C. Code § 22-404, for unlawfully assaulting and threating Officer AL in a menacing manner. Therefore, Agency requested that Employee’s suspension action be upheld.</w:t>
      </w:r>
    </w:p>
    <w:p w14:paraId="1415BDD7" w14:textId="77777777" w:rsidR="00002E26" w:rsidRDefault="00002E26" w:rsidP="00002E26">
      <w:pPr>
        <w:contextualSpacing/>
        <w:jc w:val="both"/>
        <w:rPr>
          <w:sz w:val="22"/>
          <w:szCs w:val="22"/>
        </w:rPr>
      </w:pPr>
    </w:p>
    <w:p w14:paraId="2120AC56" w14:textId="77777777" w:rsidR="00002E26" w:rsidRPr="00465C1D" w:rsidRDefault="00002E26" w:rsidP="00002E26">
      <w:pPr>
        <w:widowControl/>
        <w:spacing w:after="160"/>
        <w:ind w:left="1620"/>
        <w:contextualSpacing/>
        <w:jc w:val="both"/>
        <w:rPr>
          <w:sz w:val="22"/>
          <w:szCs w:val="22"/>
        </w:rPr>
      </w:pPr>
      <w:r w:rsidRPr="00465C1D">
        <w:rPr>
          <w:sz w:val="22"/>
          <w:szCs w:val="22"/>
        </w:rPr>
        <w:t xml:space="preserve">The OEA Administrative Judge (“AJ”) issued an order requesting the parties to submit briefs addressing whether Agency had cause to place Employee on Indefinite Suspension pending the outcome of his criminal matter. In its brief, Agency asserted that it had cause to impose the indefinite suspension because Employee was accused of serious criminal conduct and arrested for simple assault. It </w:t>
      </w:r>
      <w:proofErr w:type="gramStart"/>
      <w:r w:rsidRPr="00465C1D">
        <w:rPr>
          <w:sz w:val="22"/>
          <w:szCs w:val="22"/>
        </w:rPr>
        <w:t>opined</w:t>
      </w:r>
      <w:proofErr w:type="gramEnd"/>
      <w:r w:rsidRPr="00465C1D">
        <w:rPr>
          <w:sz w:val="22"/>
          <w:szCs w:val="22"/>
        </w:rPr>
        <w:t xml:space="preserve"> that it had cause based on Employee’s charging documents. Agency argued that its penalty was warranted because Employee’s </w:t>
      </w:r>
      <w:r w:rsidRPr="00465C1D">
        <w:rPr>
          <w:sz w:val="22"/>
          <w:szCs w:val="22"/>
        </w:rPr>
        <w:lastRenderedPageBreak/>
        <w:t xml:space="preserve">alleged misconduct was egregious and threatened its operations as well as its public safety mission. According to Agency, Employee was indefinitely suspended while his criminal charges were pending. However, it returned Employee to paid status and awarded back pay after the criminal matter was resolved when Employee was found not guilty of the assault.  </w:t>
      </w:r>
    </w:p>
    <w:p w14:paraId="7D8020CD" w14:textId="77777777" w:rsidR="00002E26" w:rsidRDefault="00002E26" w:rsidP="00002E26">
      <w:pPr>
        <w:contextualSpacing/>
        <w:jc w:val="both"/>
        <w:rPr>
          <w:sz w:val="22"/>
          <w:szCs w:val="22"/>
        </w:rPr>
      </w:pPr>
    </w:p>
    <w:p w14:paraId="37775634" w14:textId="77777777" w:rsidR="00002E26" w:rsidRPr="00465C1D" w:rsidRDefault="00002E26" w:rsidP="00002E26">
      <w:pPr>
        <w:widowControl/>
        <w:spacing w:after="160"/>
        <w:ind w:left="1620"/>
        <w:contextualSpacing/>
        <w:jc w:val="both"/>
        <w:rPr>
          <w:sz w:val="22"/>
          <w:szCs w:val="22"/>
        </w:rPr>
      </w:pPr>
      <w:r w:rsidRPr="00465C1D">
        <w:rPr>
          <w:sz w:val="22"/>
          <w:szCs w:val="22"/>
        </w:rPr>
        <w:t xml:space="preserve">In his brief, Employee argued that Agency lacked cause to indefinitely suspend him without pay.  Employee contended that the holding in </w:t>
      </w:r>
      <w:r w:rsidRPr="00465C1D">
        <w:rPr>
          <w:i/>
          <w:iCs/>
          <w:sz w:val="22"/>
          <w:szCs w:val="22"/>
        </w:rPr>
        <w:t xml:space="preserve">District of Columbia v. Green, </w:t>
      </w:r>
      <w:r w:rsidRPr="00465C1D">
        <w:rPr>
          <w:sz w:val="22"/>
          <w:szCs w:val="22"/>
        </w:rPr>
        <w:t>687 A.2d 220 (D.C. 1996),</w:t>
      </w:r>
      <w:r w:rsidRPr="00465C1D">
        <w:rPr>
          <w:i/>
          <w:iCs/>
          <w:sz w:val="22"/>
          <w:szCs w:val="22"/>
        </w:rPr>
        <w:t xml:space="preserve"> </w:t>
      </w:r>
      <w:r w:rsidRPr="00465C1D">
        <w:rPr>
          <w:sz w:val="22"/>
          <w:szCs w:val="22"/>
        </w:rPr>
        <w:t xml:space="preserve">was not applicable because unlike the officer in </w:t>
      </w:r>
      <w:r w:rsidRPr="00465C1D">
        <w:rPr>
          <w:i/>
          <w:iCs/>
          <w:sz w:val="22"/>
          <w:szCs w:val="22"/>
        </w:rPr>
        <w:t>Green</w:t>
      </w:r>
      <w:r w:rsidRPr="00465C1D">
        <w:rPr>
          <w:sz w:val="22"/>
          <w:szCs w:val="22"/>
        </w:rPr>
        <w:t>, he was never indicted or convicted of a crime. He explained that he was acquitted for his alleged conduct, and consequently, Agency had no cause to impose the penalty of an indefinite suspension without pay. Employee further argued that Agency did not prove that he engaged in unwanted repeated contact or that he sexually assaulted, stalked, trapped, or threatened Officer AL. As a result, Employee opined that the indefinite suspension was inappropriate and requested that OEA rule that he is the prevailing party.</w:t>
      </w:r>
    </w:p>
    <w:p w14:paraId="7832DAEF" w14:textId="77777777" w:rsidR="00002E26" w:rsidRDefault="00002E26" w:rsidP="00002E26">
      <w:pPr>
        <w:contextualSpacing/>
        <w:jc w:val="both"/>
        <w:rPr>
          <w:sz w:val="22"/>
          <w:szCs w:val="22"/>
        </w:rPr>
      </w:pPr>
    </w:p>
    <w:p w14:paraId="5205FF0E" w14:textId="77777777" w:rsidR="00002E26" w:rsidRPr="00465C1D" w:rsidRDefault="00002E26" w:rsidP="00002E26">
      <w:pPr>
        <w:widowControl/>
        <w:spacing w:after="160"/>
        <w:ind w:left="1620"/>
        <w:contextualSpacing/>
        <w:jc w:val="both"/>
        <w:rPr>
          <w:sz w:val="22"/>
          <w:szCs w:val="22"/>
        </w:rPr>
      </w:pPr>
      <w:r w:rsidRPr="00465C1D">
        <w:rPr>
          <w:sz w:val="22"/>
          <w:szCs w:val="22"/>
        </w:rPr>
        <w:t>On June 20, 2025, the AJ issued an Initial Decision. She found that Agency prematurely placed Employee on Indefinite Suspension Without Pay and thereby violated the relevant CBA provisions. The AJ also held that Agency did not provide evidence to prove that Employee’s conduct constituted a crime. Therefore, she determined that Agency lacked cause for both charges to warrant the adverse action taken against Employee. The AJ also ruled that because Employee was acquitted of the charges and returned to pay status and awarded back pay, he received all remedies that OEA could have provided to him.  Consequently, she reversed Agency’s action. Because Employee was already made whole, she determined that no further award was warranted.</w:t>
      </w:r>
    </w:p>
    <w:p w14:paraId="4B169C38" w14:textId="77777777" w:rsidR="00002E26" w:rsidRDefault="00002E26" w:rsidP="00002E26">
      <w:pPr>
        <w:contextualSpacing/>
        <w:jc w:val="both"/>
        <w:rPr>
          <w:sz w:val="22"/>
          <w:szCs w:val="22"/>
        </w:rPr>
      </w:pPr>
    </w:p>
    <w:p w14:paraId="3D73EBE8" w14:textId="77777777" w:rsidR="00002E26" w:rsidRPr="00465C1D" w:rsidRDefault="00002E26" w:rsidP="00002E26">
      <w:pPr>
        <w:widowControl/>
        <w:spacing w:after="160"/>
        <w:ind w:left="1620"/>
        <w:contextualSpacing/>
        <w:jc w:val="both"/>
        <w:rPr>
          <w:sz w:val="22"/>
          <w:szCs w:val="22"/>
        </w:rPr>
      </w:pPr>
      <w:r w:rsidRPr="00465C1D">
        <w:rPr>
          <w:sz w:val="22"/>
          <w:szCs w:val="22"/>
        </w:rPr>
        <w:t>Agency disagreed with the Initial Decision and filed a Petition for Review with the OEA Board on July 25, 2025. It contends that the Initial Decision is not based on substantial evidence supported by the record; that the AJ failed to address all issues of law and fact; and that the decision was based on an erroneous interpretation of law. Agency asserts that the AJ improperly relied on the proposed notice of indefinite suspension rather than the Agency’s final decision. It is also Agency’s position that it provided evidence of cause for the charges against Employee with the submission of its investigative report which included witness interviews; a summary of Officer AL’s body-worn camera footage; and screenshots of text messages and missed calls between Employee and Officer AL. As a result, it requests that the Initial Decision be reversed.</w:t>
      </w:r>
    </w:p>
    <w:p w14:paraId="232DFBC6" w14:textId="77777777" w:rsidR="00002E26" w:rsidRDefault="00002E26" w:rsidP="00002E26">
      <w:pPr>
        <w:contextualSpacing/>
        <w:jc w:val="both"/>
        <w:rPr>
          <w:sz w:val="22"/>
          <w:szCs w:val="22"/>
        </w:rPr>
      </w:pPr>
    </w:p>
    <w:p w14:paraId="3620A243" w14:textId="77777777" w:rsidR="00002E26" w:rsidRPr="00465C1D" w:rsidRDefault="00002E26" w:rsidP="00002E26">
      <w:pPr>
        <w:widowControl/>
        <w:spacing w:after="160"/>
        <w:ind w:left="1620"/>
        <w:contextualSpacing/>
        <w:jc w:val="both"/>
        <w:rPr>
          <w:sz w:val="22"/>
          <w:szCs w:val="22"/>
        </w:rPr>
      </w:pPr>
      <w:r w:rsidRPr="00465C1D">
        <w:rPr>
          <w:sz w:val="22"/>
          <w:szCs w:val="22"/>
        </w:rPr>
        <w:t>On August 28, 2025, Employee filed its Answer to Agency’s Petition for Review. He argues that the Initial Decision is based on substantial evidence and that Agency’s adverse action was taken without cause. Employee asserts that he did not engage in conduct constituting a crime which was evident in his acquittal of criminal wrongdoing. He also contends that a copy of Agency’s investigative report was never submitted to OEA. Therefore, Employee requests that the Board deny Agency’s petition.</w:t>
      </w:r>
    </w:p>
    <w:p w14:paraId="6D4102F6" w14:textId="78206F59" w:rsidR="00FB0DB7" w:rsidRPr="00FB0DB7" w:rsidRDefault="00501CA6" w:rsidP="00FB0DB7">
      <w:pPr>
        <w:pStyle w:val="ListParagraph"/>
        <w:numPr>
          <w:ilvl w:val="2"/>
          <w:numId w:val="1"/>
        </w:numPr>
        <w:jc w:val="both"/>
        <w:rPr>
          <w:sz w:val="22"/>
          <w:szCs w:val="22"/>
        </w:rPr>
      </w:pPr>
      <w:r w:rsidRPr="00FB0DB7">
        <w:rPr>
          <w:b/>
          <w:bCs/>
          <w:sz w:val="22"/>
          <w:szCs w:val="22"/>
        </w:rPr>
        <w:t>Employee v. D.C. Fire and Emergency Medical Services Department, OEA Matter No. 1601-0005-25</w:t>
      </w:r>
      <w:r w:rsidR="00A8441A" w:rsidRPr="00FB0DB7">
        <w:rPr>
          <w:b/>
          <w:bCs/>
          <w:sz w:val="22"/>
          <w:szCs w:val="22"/>
        </w:rPr>
        <w:t xml:space="preserve"> </w:t>
      </w:r>
      <w:r w:rsidRPr="00FB0DB7">
        <w:rPr>
          <w:sz w:val="22"/>
          <w:szCs w:val="22"/>
        </w:rPr>
        <w:t>—</w:t>
      </w:r>
      <w:r>
        <w:t xml:space="preserve"> </w:t>
      </w:r>
      <w:r w:rsidR="00FB0DB7" w:rsidRPr="00FB0DB7">
        <w:rPr>
          <w:sz w:val="22"/>
          <w:szCs w:val="22"/>
        </w:rPr>
        <w:t xml:space="preserve">Employee worked as a Firefighter/Emergency Medical Technician with the D.C. Fire &amp; Emergency Medical Services Department (“Agency”). </w:t>
      </w:r>
      <w:r w:rsidR="00465B14">
        <w:rPr>
          <w:sz w:val="22"/>
          <w:szCs w:val="22"/>
        </w:rPr>
        <w:t xml:space="preserve">On December 13, 2023, </w:t>
      </w:r>
      <w:r w:rsidR="00FB0DB7" w:rsidRPr="00FB0DB7">
        <w:rPr>
          <w:sz w:val="22"/>
          <w:szCs w:val="22"/>
        </w:rPr>
        <w:t xml:space="preserve">Employee was issued a Notice of Proposed Adverse Action charging him with conduct unbecoming an employee, insubordination, and neglect of duty/failed patient care. According to Agency, on August 11, 2023, Employee was dispatched to a call for emergency services, but upon arrival, remained in his ambulance </w:t>
      </w:r>
      <w:r w:rsidR="00FB0DB7" w:rsidRPr="00FB0DB7">
        <w:rPr>
          <w:sz w:val="22"/>
          <w:szCs w:val="22"/>
        </w:rPr>
        <w:lastRenderedPageBreak/>
        <w:t>for ten minutes consuming food and perusing his phone. Agency further alleged that Employee left the scene of the emergency without authorization and later became argumentative with a supervisor after being ordered to return to the location to transport the patient. Employee pleaded not guilty during an August 5, 2024, Trial Board hearing. On September 10, 2024, the Trial Board found Employee guilty of each charge and recommended termination. The Fire Chief accepted the Trial Board’s recommendation on September 10, 2024, and Employee’s termination became effective on September 21, 2024.</w:t>
      </w:r>
    </w:p>
    <w:p w14:paraId="721B7639" w14:textId="77777777" w:rsidR="00FB0DB7" w:rsidRPr="00FB0DB7" w:rsidRDefault="00FB0DB7" w:rsidP="00FB0DB7">
      <w:pPr>
        <w:contextualSpacing/>
        <w:jc w:val="both"/>
        <w:rPr>
          <w:sz w:val="12"/>
          <w:szCs w:val="12"/>
        </w:rPr>
      </w:pPr>
    </w:p>
    <w:p w14:paraId="2293676A" w14:textId="77777777" w:rsidR="00FB0DB7" w:rsidRPr="00AF6C61" w:rsidRDefault="00FB0DB7" w:rsidP="00FB0DB7">
      <w:pPr>
        <w:ind w:left="1620"/>
        <w:contextualSpacing/>
        <w:jc w:val="both"/>
        <w:rPr>
          <w:sz w:val="22"/>
          <w:szCs w:val="22"/>
        </w:rPr>
      </w:pPr>
      <w:r w:rsidRPr="00AF6C61">
        <w:rPr>
          <w:sz w:val="22"/>
          <w:szCs w:val="22"/>
        </w:rPr>
        <w:t>Employee filed a Petition for Appeal with the Office of Employee Appeals (“OEA”) on October 15, 2024. He argued that the Trial Board failed to honor his objections during the hearing and improperly admitted evidence. Employee also contended that the Trial Board chair exhibited bias by outlining charges that were not included in Agency’s advance notice. As a result, he requested to be reinstated with back pay and benefits.</w:t>
      </w:r>
    </w:p>
    <w:p w14:paraId="0BF306FB" w14:textId="77777777" w:rsidR="00FB0DB7" w:rsidRPr="00FB0DB7" w:rsidRDefault="00FB0DB7" w:rsidP="00FB0DB7">
      <w:pPr>
        <w:contextualSpacing/>
        <w:jc w:val="both"/>
        <w:rPr>
          <w:sz w:val="12"/>
          <w:szCs w:val="12"/>
        </w:rPr>
      </w:pPr>
    </w:p>
    <w:p w14:paraId="055F8AE0" w14:textId="77777777" w:rsidR="00FB0DB7" w:rsidRPr="00AF6C61" w:rsidRDefault="00FB0DB7" w:rsidP="00FB0DB7">
      <w:pPr>
        <w:ind w:left="1620"/>
        <w:contextualSpacing/>
        <w:jc w:val="both"/>
        <w:rPr>
          <w:sz w:val="22"/>
          <w:szCs w:val="22"/>
        </w:rPr>
      </w:pPr>
      <w:r w:rsidRPr="00AF6C61">
        <w:rPr>
          <w:sz w:val="22"/>
          <w:szCs w:val="22"/>
        </w:rPr>
        <w:t xml:space="preserve">In response, Agency asserted that the charges were supported by witness testimony, video footage, and special reports. It posited that Employee’s termination was taken in accordance with all applicable laws and regulations and maintained that no harmful procedural error was committed during the disciplinary proceedings. Finally, Agency submitted that the relevant </w:t>
      </w:r>
      <w:r w:rsidRPr="00AF6C61">
        <w:rPr>
          <w:i/>
          <w:iCs/>
          <w:sz w:val="22"/>
          <w:szCs w:val="22"/>
        </w:rPr>
        <w:t>Douglas</w:t>
      </w:r>
      <w:r w:rsidRPr="00AF6C61">
        <w:rPr>
          <w:sz w:val="22"/>
          <w:szCs w:val="22"/>
        </w:rPr>
        <w:t xml:space="preserve"> factors were weighed in favor of termination. Therefore, it </w:t>
      </w:r>
      <w:proofErr w:type="gramStart"/>
      <w:r w:rsidRPr="00AF6C61">
        <w:rPr>
          <w:sz w:val="22"/>
          <w:szCs w:val="22"/>
        </w:rPr>
        <w:t>opined</w:t>
      </w:r>
      <w:proofErr w:type="gramEnd"/>
      <w:r w:rsidRPr="00AF6C61">
        <w:rPr>
          <w:sz w:val="22"/>
          <w:szCs w:val="22"/>
        </w:rPr>
        <w:t xml:space="preserve"> that Employee’s termination was based on substantial evidence.</w:t>
      </w:r>
    </w:p>
    <w:p w14:paraId="3D5F75FD" w14:textId="77777777" w:rsidR="00FB0DB7" w:rsidRPr="00FB0DB7" w:rsidRDefault="00FB0DB7" w:rsidP="00FB0DB7">
      <w:pPr>
        <w:contextualSpacing/>
        <w:jc w:val="both"/>
        <w:rPr>
          <w:sz w:val="12"/>
          <w:szCs w:val="12"/>
        </w:rPr>
      </w:pPr>
    </w:p>
    <w:p w14:paraId="123E30BF" w14:textId="77777777" w:rsidR="00FB0DB7" w:rsidRPr="00AF6C61" w:rsidRDefault="00FB0DB7" w:rsidP="00FB0DB7">
      <w:pPr>
        <w:ind w:left="1620"/>
        <w:contextualSpacing/>
        <w:jc w:val="both"/>
        <w:rPr>
          <w:iCs/>
          <w:sz w:val="22"/>
          <w:szCs w:val="22"/>
        </w:rPr>
      </w:pPr>
      <w:r w:rsidRPr="00AF6C61">
        <w:rPr>
          <w:sz w:val="22"/>
          <w:szCs w:val="22"/>
        </w:rPr>
        <w:t>An OEA Administrative Judge (“AJ”) was assigned to the matter in November of 2024. During a December 20, 2024,</w:t>
      </w:r>
      <w:r w:rsidRPr="00AF6C61">
        <w:rPr>
          <w:iCs/>
          <w:sz w:val="22"/>
          <w:szCs w:val="22"/>
        </w:rPr>
        <w:t xml:space="preserve"> prehearing conference</w:t>
      </w:r>
      <w:r w:rsidRPr="00AF6C61">
        <w:rPr>
          <w:sz w:val="22"/>
          <w:szCs w:val="22"/>
        </w:rPr>
        <w:t xml:space="preserve">, the AJ determined that the holding in </w:t>
      </w:r>
      <w:r w:rsidRPr="00AF6C61">
        <w:rPr>
          <w:i/>
          <w:sz w:val="22"/>
          <w:szCs w:val="22"/>
        </w:rPr>
        <w:t>Pinkard v. Metropolitan Police Department</w:t>
      </w:r>
      <w:r w:rsidRPr="00AF6C61">
        <w:rPr>
          <w:sz w:val="22"/>
          <w:szCs w:val="22"/>
        </w:rPr>
        <w:t xml:space="preserve">, 801 A.2d 86 (D.C. 2006), precluded a </w:t>
      </w:r>
      <w:r w:rsidRPr="00AF6C61">
        <w:rPr>
          <w:i/>
          <w:sz w:val="22"/>
          <w:szCs w:val="22"/>
        </w:rPr>
        <w:t xml:space="preserve">de novo </w:t>
      </w:r>
      <w:r w:rsidRPr="00AF6C61">
        <w:rPr>
          <w:sz w:val="22"/>
          <w:szCs w:val="22"/>
        </w:rPr>
        <w:t>evidentiary hearing</w:t>
      </w:r>
      <w:r w:rsidRPr="00AF6C61">
        <w:rPr>
          <w:i/>
          <w:sz w:val="22"/>
          <w:szCs w:val="22"/>
        </w:rPr>
        <w:t>.</w:t>
      </w:r>
      <w:r w:rsidRPr="00AF6C61">
        <w:rPr>
          <w:iCs/>
          <w:sz w:val="22"/>
          <w:szCs w:val="22"/>
        </w:rPr>
        <w:t xml:space="preserve"> Accordingly, the parties were ordered to submit briefs addressing whether the Trial Board’s decision was supported by substantial evidence; whether Agency committed a harmful procedural error; and whether Employee’s termination was taken in accordance with all laws and regulations.</w:t>
      </w:r>
    </w:p>
    <w:p w14:paraId="76E0CDF3" w14:textId="77777777" w:rsidR="00FB0DB7" w:rsidRPr="00FB0DB7" w:rsidRDefault="00FB0DB7" w:rsidP="00FB0DB7">
      <w:pPr>
        <w:contextualSpacing/>
        <w:jc w:val="both"/>
        <w:rPr>
          <w:iCs/>
          <w:sz w:val="12"/>
          <w:szCs w:val="12"/>
        </w:rPr>
      </w:pPr>
    </w:p>
    <w:p w14:paraId="2949D6D2" w14:textId="77777777" w:rsidR="00FB0DB7" w:rsidRPr="00AF6C61" w:rsidRDefault="00FB0DB7" w:rsidP="00FB0DB7">
      <w:pPr>
        <w:ind w:left="1620"/>
        <w:contextualSpacing/>
        <w:jc w:val="both"/>
        <w:rPr>
          <w:iCs/>
          <w:sz w:val="22"/>
          <w:szCs w:val="22"/>
        </w:rPr>
      </w:pPr>
      <w:r w:rsidRPr="00AF6C61">
        <w:rPr>
          <w:iCs/>
          <w:sz w:val="22"/>
          <w:szCs w:val="22"/>
        </w:rPr>
        <w:t xml:space="preserve">In its brief, Agency argued that radio recordings, video, and related documentation demonstrated that on August 11, 2023, Ambulance 29 announced its arrival at the Psychiatric Institute of Washington. However, Employee and his partner failed to exit the vehicle to assess or aid the patient. According to Agency, Employee was instead observed eating food and looking at his phone for approximately ten minutes before placing Ambulance 29 back in service and departing the scene. It explained that Employee was also insubordinate, argumentative, and unprofessional to a superior, Captain Joseph Kelly, after he was ordered to return to the scene. Agency further asserted that Employee violated protocol related to patient care when he failed to enter the emergency scene to render aid to the patient. Thus, it </w:t>
      </w:r>
      <w:proofErr w:type="gramStart"/>
      <w:r w:rsidRPr="00AF6C61">
        <w:rPr>
          <w:iCs/>
          <w:sz w:val="22"/>
          <w:szCs w:val="22"/>
        </w:rPr>
        <w:t>opined</w:t>
      </w:r>
      <w:proofErr w:type="gramEnd"/>
      <w:r w:rsidRPr="00AF6C61">
        <w:rPr>
          <w:iCs/>
          <w:sz w:val="22"/>
          <w:szCs w:val="22"/>
        </w:rPr>
        <w:t xml:space="preserve"> that all three charges were based on substantial evidence. Agency maintained that no harmful procedural errors were committed during Employee’s disciplinary proceedings and reasoned that removal was appropriate based on an assessment of the </w:t>
      </w:r>
      <w:r w:rsidRPr="00AF6C61">
        <w:rPr>
          <w:i/>
          <w:sz w:val="22"/>
          <w:szCs w:val="22"/>
        </w:rPr>
        <w:t xml:space="preserve">Douglas </w:t>
      </w:r>
      <w:r w:rsidRPr="00AF6C61">
        <w:rPr>
          <w:iCs/>
          <w:sz w:val="22"/>
          <w:szCs w:val="22"/>
        </w:rPr>
        <w:t>factors. Therefore, it requested that Employee’s removal be sustained</w:t>
      </w:r>
      <w:r>
        <w:rPr>
          <w:iCs/>
          <w:sz w:val="22"/>
          <w:szCs w:val="22"/>
        </w:rPr>
        <w:t>.</w:t>
      </w:r>
      <w:r w:rsidRPr="00AF6C61">
        <w:rPr>
          <w:iCs/>
          <w:sz w:val="22"/>
          <w:szCs w:val="22"/>
        </w:rPr>
        <w:t xml:space="preserve"> </w:t>
      </w:r>
    </w:p>
    <w:p w14:paraId="10C2ED5D" w14:textId="77777777" w:rsidR="00FB0DB7" w:rsidRPr="00FB0DB7" w:rsidRDefault="00FB0DB7" w:rsidP="00FB0DB7">
      <w:pPr>
        <w:contextualSpacing/>
        <w:jc w:val="both"/>
        <w:rPr>
          <w:sz w:val="12"/>
          <w:szCs w:val="12"/>
        </w:rPr>
      </w:pPr>
    </w:p>
    <w:p w14:paraId="2118CFAB" w14:textId="77777777" w:rsidR="00FB0DB7" w:rsidRPr="00AF6C61" w:rsidRDefault="00FB0DB7" w:rsidP="00FB0DB7">
      <w:pPr>
        <w:ind w:left="1620"/>
        <w:contextualSpacing/>
        <w:jc w:val="both"/>
        <w:rPr>
          <w:sz w:val="22"/>
          <w:szCs w:val="22"/>
        </w:rPr>
      </w:pPr>
      <w:r w:rsidRPr="00AF6C61">
        <w:rPr>
          <w:sz w:val="22"/>
          <w:szCs w:val="22"/>
        </w:rPr>
        <w:t xml:space="preserve">In response, Employee contended that the record did not support a charge of conduct unbecoming because there was no impact on Agency’s ability to provide care to the patient and because other personnel were present on the scene who were better equipped to respond to the call for service. As it related to insubordination, Employee stated that he responded reasonably to a public confrontation initiated by his supervisor, Captain Kelly, regarding Ambulance 29’s departure from the scene. Consequently, Employee submitted that the penalty was unreasonable under the circumstances. </w:t>
      </w:r>
    </w:p>
    <w:p w14:paraId="4FE3A684" w14:textId="77777777" w:rsidR="00FB0DB7" w:rsidRPr="00FB0DB7" w:rsidRDefault="00FB0DB7" w:rsidP="00FB0DB7">
      <w:pPr>
        <w:contextualSpacing/>
        <w:jc w:val="both"/>
        <w:rPr>
          <w:sz w:val="12"/>
          <w:szCs w:val="12"/>
        </w:rPr>
      </w:pPr>
    </w:p>
    <w:p w14:paraId="6B77F629" w14:textId="77777777" w:rsidR="00FB0DB7" w:rsidRPr="00AF6C61" w:rsidRDefault="00FB0DB7" w:rsidP="00FB0DB7">
      <w:pPr>
        <w:ind w:left="1620"/>
        <w:contextualSpacing/>
        <w:jc w:val="both"/>
        <w:rPr>
          <w:sz w:val="22"/>
          <w:szCs w:val="22"/>
        </w:rPr>
      </w:pPr>
      <w:r w:rsidRPr="00AF6C61">
        <w:rPr>
          <w:sz w:val="22"/>
          <w:szCs w:val="22"/>
        </w:rPr>
        <w:lastRenderedPageBreak/>
        <w:t xml:space="preserve">The AJ issued an Initial Decision on July 18, 2025. First, he held that Employee’s conduct on August 11, 2023, amounted to neglect of duty, insubordination, and conduct becoming. The AJ explained that Employee did not deny that he failed to exit Ambulance 29 after arriving at the call for service. He found Employee’s excuses for his conduct to be insufficient to overcome Agency’s presentation of evidence. Thus, the AJ ruled that there was substantial evidence in the record to support each charge levied against Employee. With respect to harmful procedural error, the AJ disagreed with Employee’s argument that his partner was similarly situated because they were not within the same organizational unit; did not work under the same supervisor; and did not incur the same charges for the underlying conduct. As a result, he opined that the </w:t>
      </w:r>
      <w:r w:rsidRPr="00AF6C61">
        <w:rPr>
          <w:i/>
          <w:iCs/>
          <w:sz w:val="22"/>
          <w:szCs w:val="22"/>
        </w:rPr>
        <w:t>Douglas</w:t>
      </w:r>
      <w:r w:rsidRPr="00AF6C61">
        <w:rPr>
          <w:sz w:val="22"/>
          <w:szCs w:val="22"/>
        </w:rPr>
        <w:t xml:space="preserve"> factors, particularly Employee’s prior disciplinary history, weighed in favor of termination. Consequently, Agency’s termination action was upheld.</w:t>
      </w:r>
    </w:p>
    <w:p w14:paraId="742B656C" w14:textId="77777777" w:rsidR="00FB0DB7" w:rsidRPr="00FB0DB7" w:rsidRDefault="00FB0DB7" w:rsidP="00FB0DB7">
      <w:pPr>
        <w:contextualSpacing/>
        <w:jc w:val="both"/>
        <w:rPr>
          <w:sz w:val="12"/>
          <w:szCs w:val="12"/>
        </w:rPr>
      </w:pPr>
    </w:p>
    <w:p w14:paraId="3FDEDB0B" w14:textId="718A89DA" w:rsidR="00FB0DB7" w:rsidRPr="00AF6C61" w:rsidRDefault="00FB0DB7" w:rsidP="00FB0DB7">
      <w:pPr>
        <w:ind w:left="1620"/>
        <w:contextualSpacing/>
        <w:jc w:val="both"/>
        <w:rPr>
          <w:sz w:val="22"/>
          <w:szCs w:val="22"/>
        </w:rPr>
      </w:pPr>
      <w:r w:rsidRPr="00AF6C61">
        <w:rPr>
          <w:sz w:val="22"/>
          <w:szCs w:val="22"/>
        </w:rPr>
        <w:t xml:space="preserve">Employee filed a Petition for Review with the OEA Board on August 21, 2025. He argues that the Initial Decision is not based on substantial evidence because the AJ failed to properly weigh his claim of disparate treatment. According to Employee, his partner held the same role, was his direct supervisor, and was assigned to the same unit as him. However, Employee differentiates that his partner only received a </w:t>
      </w:r>
      <w:r w:rsidR="005C20D5" w:rsidRPr="00AF6C61">
        <w:rPr>
          <w:sz w:val="22"/>
          <w:szCs w:val="22"/>
        </w:rPr>
        <w:t>thirty-six-hour</w:t>
      </w:r>
      <w:r w:rsidRPr="00AF6C61">
        <w:rPr>
          <w:sz w:val="22"/>
          <w:szCs w:val="22"/>
        </w:rPr>
        <w:t xml:space="preserve"> suspension whereas he was terminated. As such, he submits that Agency misapplied </w:t>
      </w:r>
      <w:r w:rsidRPr="00AF6C61">
        <w:rPr>
          <w:i/>
          <w:iCs/>
          <w:sz w:val="22"/>
          <w:szCs w:val="22"/>
        </w:rPr>
        <w:t>Douglas</w:t>
      </w:r>
      <w:r w:rsidRPr="00AF6C61">
        <w:rPr>
          <w:sz w:val="22"/>
          <w:szCs w:val="22"/>
        </w:rPr>
        <w:t xml:space="preserve"> factor No. 6, consistency of the penalty with those imposed upon other employees for the same or similar offenses. Thus, Employee requests that the Board reverse his termination.</w:t>
      </w:r>
    </w:p>
    <w:p w14:paraId="638603BE" w14:textId="77777777" w:rsidR="00FB0DB7" w:rsidRPr="00FB0DB7" w:rsidRDefault="00FB0DB7" w:rsidP="00FB0DB7">
      <w:pPr>
        <w:contextualSpacing/>
        <w:jc w:val="both"/>
        <w:rPr>
          <w:sz w:val="12"/>
          <w:szCs w:val="12"/>
        </w:rPr>
      </w:pPr>
    </w:p>
    <w:p w14:paraId="274A8C8E" w14:textId="77777777" w:rsidR="00FB0DB7" w:rsidRPr="00AF6C61" w:rsidRDefault="00FB0DB7" w:rsidP="00FB0DB7">
      <w:pPr>
        <w:ind w:left="1620"/>
        <w:contextualSpacing/>
        <w:jc w:val="both"/>
        <w:rPr>
          <w:sz w:val="22"/>
          <w:szCs w:val="22"/>
        </w:rPr>
      </w:pPr>
      <w:r w:rsidRPr="00AF6C61">
        <w:rPr>
          <w:sz w:val="22"/>
          <w:szCs w:val="22"/>
        </w:rPr>
        <w:t>In response, Agency asserts that the AJ properly rejected Employee’s claim of disparate treatment. In support thereof, it notes that Employee and his partner did not commit the same misconduct and did not have the same disciplinary history. Therefore, Agency reasons that different disciplinary charges were warranted under the circumstances. Lastly, it reiterates that termination was within the range of penalties allowed by law. Consequently, Agency asks that the Board deny Employee’s Petition for Review.</w:t>
      </w:r>
    </w:p>
    <w:p w14:paraId="71FEF914" w14:textId="77777777" w:rsidR="00FB0DB7" w:rsidRPr="00FB0DB7" w:rsidRDefault="00FB0DB7" w:rsidP="00FB0DB7">
      <w:pPr>
        <w:rPr>
          <w:sz w:val="12"/>
          <w:szCs w:val="12"/>
        </w:rPr>
      </w:pPr>
    </w:p>
    <w:p w14:paraId="35779AAC" w14:textId="2ACBA813" w:rsidR="008D1283" w:rsidRPr="008D1283" w:rsidRDefault="00501CA6" w:rsidP="008D1283">
      <w:pPr>
        <w:pStyle w:val="ListParagraph"/>
        <w:numPr>
          <w:ilvl w:val="2"/>
          <w:numId w:val="1"/>
        </w:numPr>
        <w:jc w:val="both"/>
        <w:rPr>
          <w:sz w:val="22"/>
          <w:szCs w:val="22"/>
        </w:rPr>
      </w:pPr>
      <w:r w:rsidRPr="008D1283">
        <w:rPr>
          <w:b/>
          <w:bCs/>
          <w:sz w:val="22"/>
          <w:szCs w:val="22"/>
        </w:rPr>
        <w:t xml:space="preserve">Employee v. </w:t>
      </w:r>
      <w:r w:rsidRPr="008D1283">
        <w:rPr>
          <w:rFonts w:eastAsia="SimSun"/>
          <w:b/>
          <w:sz w:val="22"/>
          <w:szCs w:val="22"/>
          <w:lang w:eastAsia="zh-CN"/>
        </w:rPr>
        <w:t>Office of the Chief Technology Officer</w:t>
      </w:r>
      <w:r w:rsidRPr="008D1283">
        <w:rPr>
          <w:b/>
          <w:bCs/>
          <w:sz w:val="22"/>
          <w:szCs w:val="22"/>
        </w:rPr>
        <w:t>, OEA Matter No. 1601-0058-23</w:t>
      </w:r>
      <w:r w:rsidR="00A8441A" w:rsidRPr="008D1283">
        <w:rPr>
          <w:b/>
          <w:bCs/>
          <w:sz w:val="22"/>
          <w:szCs w:val="22"/>
        </w:rPr>
        <w:t xml:space="preserve"> </w:t>
      </w:r>
      <w:r w:rsidRPr="008D1283">
        <w:rPr>
          <w:b/>
          <w:bCs/>
          <w:sz w:val="22"/>
          <w:szCs w:val="22"/>
        </w:rPr>
        <w:t>—</w:t>
      </w:r>
      <w:r w:rsidR="008D1283" w:rsidRPr="008D1283">
        <w:rPr>
          <w:b/>
          <w:bCs/>
          <w:sz w:val="22"/>
          <w:szCs w:val="22"/>
        </w:rPr>
        <w:t xml:space="preserve"> </w:t>
      </w:r>
      <w:r w:rsidR="008D1283" w:rsidRPr="008D1283">
        <w:rPr>
          <w:sz w:val="22"/>
          <w:szCs w:val="22"/>
        </w:rPr>
        <w:t>Employe worked as a Telecom Specialist with the Office of the Chief Technology Officer (“Agency” or “OCTO”). On June 9, 2023, Agency issued Employee a Notice of Proposed Separation charging him with failure/refusal to follow instructions in violation of Chapter 6-B, Section 1607.2(d)(2) of the D.C. Municipal Regulations (“DCMR”). In its notice, Agency asserted that between May 30, 2023, and June 1, 2023, Employee repeatedly and maliciously refused directives from his supervisor, the Deputy Chief Technology Officer, and the OCTO General Counsel, directing him to report to OCTO headquarters to discuss an unrelated administrative investigation. A hearing officer conducted an administrative review of the charge and found that Agency provided sufficient evidence to support the adverse action. A final decision was issued on June 30, 2023, and Employee’s termination became effective on July 14, 2023.</w:t>
      </w:r>
    </w:p>
    <w:p w14:paraId="48758FA1" w14:textId="77777777" w:rsidR="008D1283" w:rsidRPr="00FB0DB7" w:rsidRDefault="008D1283" w:rsidP="008D1283">
      <w:pPr>
        <w:contextualSpacing/>
        <w:jc w:val="both"/>
        <w:rPr>
          <w:sz w:val="12"/>
          <w:szCs w:val="12"/>
        </w:rPr>
      </w:pPr>
    </w:p>
    <w:p w14:paraId="6113E77B" w14:textId="77777777" w:rsidR="008D1283" w:rsidRPr="0096104A" w:rsidRDefault="008D1283" w:rsidP="008D1283">
      <w:pPr>
        <w:ind w:left="1620"/>
        <w:contextualSpacing/>
        <w:jc w:val="both"/>
        <w:rPr>
          <w:sz w:val="22"/>
          <w:szCs w:val="22"/>
        </w:rPr>
      </w:pPr>
      <w:r w:rsidRPr="0096104A">
        <w:rPr>
          <w:sz w:val="22"/>
          <w:szCs w:val="22"/>
        </w:rPr>
        <w:t>Employee filed a Petition for Appeal with the Office of Employee Appeals (“OEA”) on August 14, 2023. He argued that his removal was unlawful and highlighted his excellent work performance throughout his tenure with Agency. Employee asserted that Agency deliberately concealed pertinent sections of the DCMR in the charging documents and negated its legal obligations with respect to DCMR § 1620. Additionally, he opined that Agency’s decision to terminate him lacked fairness, reason, and transparency. As a result, Employee requested to be reinstated and awarded compensatory and punitive damages.</w:t>
      </w:r>
    </w:p>
    <w:p w14:paraId="53A44B46" w14:textId="77777777" w:rsidR="008D1283" w:rsidRPr="00FB0DB7" w:rsidRDefault="008D1283" w:rsidP="008D1283">
      <w:pPr>
        <w:contextualSpacing/>
        <w:jc w:val="both"/>
        <w:rPr>
          <w:sz w:val="12"/>
          <w:szCs w:val="12"/>
        </w:rPr>
      </w:pPr>
    </w:p>
    <w:p w14:paraId="60E8A45B" w14:textId="77777777" w:rsidR="008D1283" w:rsidRPr="0096104A" w:rsidRDefault="008D1283" w:rsidP="00E865B2">
      <w:pPr>
        <w:ind w:left="1620"/>
        <w:contextualSpacing/>
        <w:jc w:val="both"/>
        <w:rPr>
          <w:sz w:val="22"/>
          <w:szCs w:val="22"/>
        </w:rPr>
      </w:pPr>
      <w:r w:rsidRPr="0096104A">
        <w:rPr>
          <w:sz w:val="22"/>
          <w:szCs w:val="22"/>
        </w:rPr>
        <w:t xml:space="preserve">Agency filed its response on September 18, 2023. It contended that Employee received </w:t>
      </w:r>
      <w:r w:rsidRPr="0096104A">
        <w:rPr>
          <w:sz w:val="22"/>
          <w:szCs w:val="22"/>
        </w:rPr>
        <w:lastRenderedPageBreak/>
        <w:t>proper supervisory instructions in accordance with 6-B DCMR § 1607.2; the directives were issued by supervisors within the scope of their authority; and Employee was required to comply with all lawful directives. According to Agency, Employee repeatedly failed to respond to email and Microsoft Teams messages nine times over the course of three days in a deliberate and malicious manner. It further claimed that termination was within the scope of penalties permitted by the Table of Illustrative Actions. Therefore, Agency opined that Employee’s separation was taken for cause and was in accordance with all applicable laws, rules, and regulations.</w:t>
      </w:r>
    </w:p>
    <w:p w14:paraId="57F60E6D" w14:textId="77777777" w:rsidR="008D1283" w:rsidRPr="00FB0DB7" w:rsidRDefault="008D1283" w:rsidP="008D1283">
      <w:pPr>
        <w:contextualSpacing/>
        <w:jc w:val="both"/>
        <w:rPr>
          <w:sz w:val="12"/>
          <w:szCs w:val="12"/>
        </w:rPr>
      </w:pPr>
    </w:p>
    <w:p w14:paraId="15943D7F" w14:textId="77777777" w:rsidR="008D1283" w:rsidRPr="0096104A" w:rsidRDefault="008D1283" w:rsidP="00E865B2">
      <w:pPr>
        <w:ind w:left="1620"/>
        <w:contextualSpacing/>
        <w:jc w:val="both"/>
        <w:rPr>
          <w:sz w:val="22"/>
          <w:szCs w:val="22"/>
        </w:rPr>
      </w:pPr>
      <w:r w:rsidRPr="0096104A">
        <w:rPr>
          <w:sz w:val="22"/>
          <w:szCs w:val="22"/>
        </w:rPr>
        <w:t xml:space="preserve">An OEA Administrative Judge (“AJ”) was assigned to this matter in September of 2023. On February 27, 2024, the AJ held a status conference and determined that an evidentiary hearing was warranted. Therefore, a hearing was held on November 19, 2024, wherein the parties submitted documentary and testimonial evidence in support of their positions. Employee and Agency were subsequently ordered to submit closing statements on or before February 13, 2025. Both parties submitted responses to the order. </w:t>
      </w:r>
    </w:p>
    <w:p w14:paraId="7307F911" w14:textId="77777777" w:rsidR="008D1283" w:rsidRPr="00FB0DB7" w:rsidRDefault="008D1283" w:rsidP="008D1283">
      <w:pPr>
        <w:contextualSpacing/>
        <w:jc w:val="both"/>
        <w:rPr>
          <w:sz w:val="12"/>
          <w:szCs w:val="12"/>
        </w:rPr>
      </w:pPr>
    </w:p>
    <w:p w14:paraId="13EAE967" w14:textId="77777777" w:rsidR="008D1283" w:rsidRPr="0096104A" w:rsidRDefault="008D1283" w:rsidP="00E865B2">
      <w:pPr>
        <w:ind w:left="1620"/>
        <w:contextualSpacing/>
        <w:jc w:val="both"/>
        <w:rPr>
          <w:sz w:val="22"/>
          <w:szCs w:val="22"/>
        </w:rPr>
      </w:pPr>
      <w:r w:rsidRPr="0096104A">
        <w:rPr>
          <w:sz w:val="22"/>
          <w:szCs w:val="22"/>
        </w:rPr>
        <w:t>The AJ issued an Initial Decision on August 11, 2025. She concluded that Employee did not first refuse a lawful supervisory instruction until May 31, 2023, at 1:13 p.m. when he failed to report to OCTO headquarters to discuss a separate disciplinary matter with OCTO’s General Counsel, Todd Smith. The AJ explained that the May 30</w:t>
      </w:r>
      <w:r w:rsidRPr="0096104A">
        <w:rPr>
          <w:sz w:val="22"/>
          <w:szCs w:val="22"/>
          <w:vertAlign w:val="superscript"/>
        </w:rPr>
        <w:t>th</w:t>
      </w:r>
      <w:r w:rsidRPr="0096104A">
        <w:rPr>
          <w:sz w:val="22"/>
          <w:szCs w:val="22"/>
        </w:rPr>
        <w:t xml:space="preserve"> and earlier May 31</w:t>
      </w:r>
      <w:r w:rsidRPr="0096104A">
        <w:rPr>
          <w:sz w:val="22"/>
          <w:szCs w:val="22"/>
          <w:vertAlign w:val="superscript"/>
        </w:rPr>
        <w:t>st</w:t>
      </w:r>
      <w:r w:rsidRPr="0096104A">
        <w:rPr>
          <w:sz w:val="22"/>
          <w:szCs w:val="22"/>
        </w:rPr>
        <w:t xml:space="preserve"> Microsoft Teams messages from Attorney Smith demanding immediate acknowledgement of receipt of his messages and demanding Employee to respond did not constitute lawful supervisory instructions within the meaning of DCMR § 1607.2(d)(2). She reasoned that there was unclear testimony relative to whether Employee was aware that Attorney Smith had supervisory authority over him; Agency failed to establish that the Deputy Chief Technology Officer (“Lofton”) or Employee’s direct supervisor (“Noble”) delegated such authority to Smith; and the evidence was insufficient to establish that Employee repeatedly, maliciously refused lawful directives nine times over the course of three days.   </w:t>
      </w:r>
    </w:p>
    <w:p w14:paraId="3608E15F" w14:textId="77777777" w:rsidR="008D1283" w:rsidRPr="00FB0DB7" w:rsidRDefault="008D1283" w:rsidP="008D1283">
      <w:pPr>
        <w:contextualSpacing/>
        <w:jc w:val="both"/>
        <w:rPr>
          <w:sz w:val="12"/>
          <w:szCs w:val="12"/>
        </w:rPr>
      </w:pPr>
    </w:p>
    <w:p w14:paraId="0DBAC1E5" w14:textId="77777777" w:rsidR="008D1283" w:rsidRPr="0096104A" w:rsidRDefault="008D1283" w:rsidP="00E865B2">
      <w:pPr>
        <w:ind w:left="1620"/>
        <w:contextualSpacing/>
        <w:jc w:val="both"/>
        <w:rPr>
          <w:sz w:val="22"/>
          <w:szCs w:val="22"/>
        </w:rPr>
      </w:pPr>
      <w:r w:rsidRPr="0096104A">
        <w:rPr>
          <w:sz w:val="22"/>
          <w:szCs w:val="22"/>
        </w:rPr>
        <w:t xml:space="preserve">Moreover, she opined that the severity of Employee’s conduct was diminished because Agency could not establish Employee’s continuous, intentional, or malicious refusal to respond to the Teams messages; there was a lack of established policy regarding an employee’s duty to provide immediate responses to work-related inquiries; and Employee’s duties as an offsite warehouse worker did not permit him to check his emails frequently. As a result, she ruled that Agency only established cause as it related to Employee’s failure to report to OCTO after being directed to do so by Lofton on May 31, 2023, at 1:13 p.m. and failing to report to OCTO on June 1, 2023.   </w:t>
      </w:r>
    </w:p>
    <w:p w14:paraId="50AD3380" w14:textId="77777777" w:rsidR="008D1283" w:rsidRPr="00FB0DB7" w:rsidRDefault="008D1283" w:rsidP="008D1283">
      <w:pPr>
        <w:contextualSpacing/>
        <w:jc w:val="both"/>
        <w:rPr>
          <w:sz w:val="12"/>
          <w:szCs w:val="12"/>
        </w:rPr>
      </w:pPr>
    </w:p>
    <w:p w14:paraId="1F9D9004" w14:textId="12CFCCF3" w:rsidR="008D1283" w:rsidRPr="0096104A" w:rsidRDefault="008D1283" w:rsidP="00E865B2">
      <w:pPr>
        <w:ind w:left="1620"/>
        <w:contextualSpacing/>
        <w:jc w:val="both"/>
        <w:rPr>
          <w:sz w:val="22"/>
          <w:szCs w:val="22"/>
        </w:rPr>
      </w:pPr>
      <w:r w:rsidRPr="0096104A">
        <w:rPr>
          <w:sz w:val="22"/>
          <w:szCs w:val="22"/>
        </w:rPr>
        <w:t>As it relate</w:t>
      </w:r>
      <w:r w:rsidR="005C20D5">
        <w:rPr>
          <w:sz w:val="22"/>
          <w:szCs w:val="22"/>
        </w:rPr>
        <w:t>s</w:t>
      </w:r>
      <w:r w:rsidRPr="0096104A">
        <w:rPr>
          <w:sz w:val="22"/>
          <w:szCs w:val="22"/>
        </w:rPr>
        <w:t xml:space="preserve"> to the penalty, the AJ concluded that removal exceeded what was reasonable under the </w:t>
      </w:r>
      <w:r w:rsidRPr="0096104A">
        <w:rPr>
          <w:i/>
          <w:iCs/>
          <w:sz w:val="22"/>
          <w:szCs w:val="22"/>
        </w:rPr>
        <w:t>Douglas</w:t>
      </w:r>
      <w:r w:rsidRPr="0096104A">
        <w:rPr>
          <w:sz w:val="22"/>
          <w:szCs w:val="22"/>
        </w:rPr>
        <w:t xml:space="preserve"> factors. She provided that Agency’s narrative relied on inflated descriptions of conduct; mischaracterized the messages from Employee as evincing a malicious failure to follow direct orders; and improperly used unrelated considerations in determining the penalty. According to the AJ, some of the messages that were relied on by Agency in its assessment of the </w:t>
      </w:r>
      <w:r w:rsidRPr="0096104A">
        <w:rPr>
          <w:i/>
          <w:iCs/>
          <w:sz w:val="22"/>
          <w:szCs w:val="22"/>
        </w:rPr>
        <w:t xml:space="preserve">Douglas </w:t>
      </w:r>
      <w:r w:rsidRPr="0096104A">
        <w:rPr>
          <w:sz w:val="22"/>
          <w:szCs w:val="22"/>
        </w:rPr>
        <w:t xml:space="preserve">factors were related to a fact-finding investigation in a separate matter, not the misconduct forming the basis of the instant appeal. Thus, she found that Agency’s flawed assessment did not support removal for the conduct cited in the advance notice of termination. The AJ further concluded that Agency failed to engage in a responsible balancing of the </w:t>
      </w:r>
      <w:r w:rsidRPr="0096104A">
        <w:rPr>
          <w:i/>
          <w:sz w:val="22"/>
          <w:szCs w:val="22"/>
        </w:rPr>
        <w:t>Douglas</w:t>
      </w:r>
      <w:r w:rsidRPr="0096104A">
        <w:rPr>
          <w:sz w:val="22"/>
          <w:szCs w:val="22"/>
        </w:rPr>
        <w:t xml:space="preserve"> factors, which ultimately resulted in an abuse of discretion. As a result, Agency’s termination action was reversed, and Employee was ordered to be reinstated to his position with back pay and benefits. </w:t>
      </w:r>
    </w:p>
    <w:p w14:paraId="7AAAAD1C" w14:textId="77777777" w:rsidR="008D1283" w:rsidRPr="00FB0DB7" w:rsidRDefault="008D1283" w:rsidP="008D1283">
      <w:pPr>
        <w:contextualSpacing/>
        <w:jc w:val="both"/>
        <w:rPr>
          <w:sz w:val="12"/>
          <w:szCs w:val="12"/>
        </w:rPr>
      </w:pPr>
    </w:p>
    <w:p w14:paraId="00C00C34" w14:textId="77777777" w:rsidR="008D1283" w:rsidRPr="0096104A" w:rsidRDefault="008D1283" w:rsidP="00E865B2">
      <w:pPr>
        <w:ind w:left="1620"/>
        <w:contextualSpacing/>
        <w:jc w:val="both"/>
        <w:rPr>
          <w:sz w:val="22"/>
          <w:szCs w:val="22"/>
        </w:rPr>
      </w:pPr>
      <w:r w:rsidRPr="0096104A">
        <w:rPr>
          <w:sz w:val="22"/>
          <w:szCs w:val="22"/>
        </w:rPr>
        <w:lastRenderedPageBreak/>
        <w:t xml:space="preserve">Agency filed a Petition for Review with the OEA Board on September 15, 2025. It argues that contrary to the AJ’s analysis, the holding in </w:t>
      </w:r>
      <w:r w:rsidRPr="0096104A">
        <w:rPr>
          <w:i/>
          <w:iCs/>
          <w:sz w:val="22"/>
          <w:szCs w:val="22"/>
        </w:rPr>
        <w:t xml:space="preserve">Douglas </w:t>
      </w:r>
      <w:r w:rsidRPr="0096104A">
        <w:rPr>
          <w:sz w:val="22"/>
          <w:szCs w:val="22"/>
        </w:rPr>
        <w:t xml:space="preserve">bestows agencies, not OEA, with the primary discretion to select penalties for employee misconduct. Agency maintains that OEA may only overturn a penalty in cases of a clear error of judgment, which did not occur in this case. It stresses that even a single instance of deliberate or malicious refusal to follow proper supervisory instructions is sufficient to warrant removal under the Table of Illustrative Actions and applicable case law. Consequently, Agency submits that the AJ </w:t>
      </w:r>
      <w:proofErr w:type="gramStart"/>
      <w:r w:rsidRPr="0096104A">
        <w:rPr>
          <w:sz w:val="22"/>
          <w:szCs w:val="22"/>
        </w:rPr>
        <w:t>erred</w:t>
      </w:r>
      <w:proofErr w:type="gramEnd"/>
      <w:r w:rsidRPr="0096104A">
        <w:rPr>
          <w:sz w:val="22"/>
          <w:szCs w:val="22"/>
        </w:rPr>
        <w:t xml:space="preserve"> by undermining its managerial authority and discretion.</w:t>
      </w:r>
    </w:p>
    <w:p w14:paraId="62A0D246" w14:textId="77777777" w:rsidR="008D1283" w:rsidRPr="00FB0DB7" w:rsidRDefault="008D1283" w:rsidP="008D1283">
      <w:pPr>
        <w:contextualSpacing/>
        <w:jc w:val="both"/>
        <w:rPr>
          <w:sz w:val="12"/>
          <w:szCs w:val="12"/>
        </w:rPr>
      </w:pPr>
    </w:p>
    <w:p w14:paraId="4EAFA7CA" w14:textId="77777777" w:rsidR="008D1283" w:rsidRPr="0096104A" w:rsidRDefault="008D1283" w:rsidP="00E865B2">
      <w:pPr>
        <w:ind w:left="1620"/>
        <w:contextualSpacing/>
        <w:jc w:val="both"/>
        <w:rPr>
          <w:sz w:val="22"/>
          <w:szCs w:val="22"/>
        </w:rPr>
      </w:pPr>
      <w:r w:rsidRPr="0096104A">
        <w:rPr>
          <w:sz w:val="22"/>
          <w:szCs w:val="22"/>
        </w:rPr>
        <w:t xml:space="preserve">It further contends that the AJ misapplied the legal tenants of </w:t>
      </w:r>
      <w:r w:rsidRPr="0096104A">
        <w:rPr>
          <w:i/>
          <w:sz w:val="22"/>
          <w:szCs w:val="22"/>
        </w:rPr>
        <w:t>Douglas</w:t>
      </w:r>
      <w:r w:rsidRPr="0096104A">
        <w:rPr>
          <w:sz w:val="22"/>
          <w:szCs w:val="22"/>
        </w:rPr>
        <w:t xml:space="preserve"> by focusing rigidly on the number of times Employee was alleged to have refused instructions rather than their overall seriousness and impact. Agency believes that the AJ ignored witness testimony relevant to workplace disruption; failed to provide it with an opportunity to submit a response brief regarding the </w:t>
      </w:r>
      <w:r w:rsidRPr="0096104A">
        <w:rPr>
          <w:i/>
          <w:sz w:val="22"/>
          <w:szCs w:val="22"/>
        </w:rPr>
        <w:t>Douglas</w:t>
      </w:r>
      <w:r w:rsidRPr="0096104A">
        <w:rPr>
          <w:sz w:val="22"/>
          <w:szCs w:val="22"/>
        </w:rPr>
        <w:t xml:space="preserve"> factor analysis; and improperly confined her analysis to the reviewing hearing officer’s conclusions instead of relying on the deciding official’s independent judgment. Additionally, it argues that the AJ disregarded certain aggravating factors, including Employee’s use of belligerent language. As such, Agency reasons that the AJ improperly substituted her own judgment for that of management, which constitutes a reversible error. Therefore, it requests that the Board reverse the Initial Decision and uphold Employee’s removal.</w:t>
      </w:r>
    </w:p>
    <w:p w14:paraId="43C4C5F3" w14:textId="77777777" w:rsidR="008D1283" w:rsidRPr="00FB0DB7" w:rsidRDefault="008D1283" w:rsidP="008D1283">
      <w:pPr>
        <w:contextualSpacing/>
        <w:jc w:val="both"/>
        <w:rPr>
          <w:sz w:val="12"/>
          <w:szCs w:val="12"/>
        </w:rPr>
      </w:pPr>
    </w:p>
    <w:p w14:paraId="6EEAE5BF" w14:textId="57EC2533" w:rsidR="008D1283" w:rsidRDefault="008D1283" w:rsidP="00E865B2">
      <w:pPr>
        <w:ind w:left="1620"/>
        <w:contextualSpacing/>
        <w:jc w:val="both"/>
        <w:rPr>
          <w:sz w:val="22"/>
          <w:szCs w:val="22"/>
        </w:rPr>
      </w:pPr>
      <w:bookmarkStart w:id="0" w:name="_Hlk216177267"/>
      <w:r w:rsidRPr="0096104A">
        <w:rPr>
          <w:sz w:val="22"/>
          <w:szCs w:val="22"/>
        </w:rPr>
        <w:t xml:space="preserve">In response, Employee asserts that the AJ’s findings are consistent with all applicable statutes and regulations. He believes that the evidentiary hearing was conducted in a fair and impartial manner. Additionally, Employee agrees with the AJ’s conclusion that termination was improper because he lacked any prior disciplinary actions; served in his position for fourteen years; and received consistently </w:t>
      </w:r>
      <w:r w:rsidR="005C20D5" w:rsidRPr="0096104A">
        <w:rPr>
          <w:sz w:val="22"/>
          <w:szCs w:val="22"/>
        </w:rPr>
        <w:t>high-performance</w:t>
      </w:r>
      <w:r w:rsidRPr="0096104A">
        <w:rPr>
          <w:sz w:val="22"/>
          <w:szCs w:val="22"/>
        </w:rPr>
        <w:t xml:space="preserve"> ratings. </w:t>
      </w:r>
      <w:bookmarkEnd w:id="0"/>
      <w:r w:rsidRPr="0096104A">
        <w:rPr>
          <w:sz w:val="22"/>
          <w:szCs w:val="22"/>
        </w:rPr>
        <w:t xml:space="preserve">He reiterates that Agency’s assessment of the </w:t>
      </w:r>
      <w:r w:rsidRPr="0096104A">
        <w:rPr>
          <w:i/>
          <w:iCs/>
          <w:sz w:val="22"/>
          <w:szCs w:val="22"/>
        </w:rPr>
        <w:t>Douglas</w:t>
      </w:r>
      <w:r w:rsidRPr="0096104A">
        <w:rPr>
          <w:sz w:val="22"/>
          <w:szCs w:val="22"/>
        </w:rPr>
        <w:t xml:space="preserve"> factors was flawed and disregarded pertinent information. It is Employee’s position that the AJ’s findings were more than </w:t>
      </w:r>
      <w:proofErr w:type="gramStart"/>
      <w:r w:rsidRPr="0096104A">
        <w:rPr>
          <w:sz w:val="22"/>
          <w:szCs w:val="22"/>
        </w:rPr>
        <w:t>substantiated</w:t>
      </w:r>
      <w:proofErr w:type="gramEnd"/>
      <w:r w:rsidRPr="0096104A">
        <w:rPr>
          <w:sz w:val="22"/>
          <w:szCs w:val="22"/>
        </w:rPr>
        <w:t xml:space="preserve"> and he asks that Agency’s petition be denied.</w:t>
      </w:r>
    </w:p>
    <w:p w14:paraId="0A8442DF" w14:textId="77777777" w:rsidR="00FB0DB7" w:rsidRPr="00FB0DB7" w:rsidRDefault="00FB0DB7" w:rsidP="00E865B2">
      <w:pPr>
        <w:ind w:left="1620"/>
        <w:contextualSpacing/>
        <w:jc w:val="both"/>
        <w:rPr>
          <w:sz w:val="12"/>
          <w:szCs w:val="12"/>
        </w:rPr>
      </w:pPr>
    </w:p>
    <w:p w14:paraId="3E59C6B3" w14:textId="77777777" w:rsidR="00501CA6" w:rsidRPr="00F61428" w:rsidRDefault="00501CA6" w:rsidP="00501CA6">
      <w:pPr>
        <w:widowControl/>
        <w:numPr>
          <w:ilvl w:val="1"/>
          <w:numId w:val="1"/>
        </w:numPr>
        <w:tabs>
          <w:tab w:val="clear" w:pos="1440"/>
        </w:tabs>
        <w:ind w:left="-90" w:firstLine="360"/>
        <w:contextualSpacing/>
        <w:jc w:val="both"/>
        <w:rPr>
          <w:rFonts w:eastAsia="SimSun"/>
          <w:b/>
          <w:sz w:val="22"/>
          <w:szCs w:val="22"/>
          <w:lang w:eastAsia="zh-CN"/>
        </w:rPr>
      </w:pPr>
      <w:r w:rsidRPr="00F61428">
        <w:rPr>
          <w:rFonts w:eastAsia="SimSun"/>
          <w:b/>
          <w:sz w:val="22"/>
          <w:szCs w:val="22"/>
          <w:lang w:eastAsia="zh-CN"/>
        </w:rPr>
        <w:t xml:space="preserve">Deliberations </w:t>
      </w:r>
      <w:r w:rsidRPr="00F61428">
        <w:rPr>
          <w:rFonts w:eastAsia="SimSun"/>
          <w:sz w:val="22"/>
          <w:szCs w:val="22"/>
          <w:lang w:eastAsia="zh-CN"/>
        </w:rPr>
        <w:t xml:space="preserve">– This portion of the meeting will be closed to the public for deliberations </w:t>
      </w:r>
    </w:p>
    <w:p w14:paraId="15289FE4" w14:textId="77777777" w:rsidR="00501CA6" w:rsidRDefault="00501CA6" w:rsidP="00501CA6">
      <w:pPr>
        <w:ind w:left="270" w:firstLine="450"/>
        <w:contextualSpacing/>
        <w:jc w:val="both"/>
        <w:rPr>
          <w:rFonts w:eastAsia="SimSun"/>
          <w:b/>
          <w:sz w:val="22"/>
          <w:szCs w:val="22"/>
          <w:lang w:eastAsia="zh-CN"/>
        </w:rPr>
      </w:pPr>
      <w:r w:rsidRPr="00F61428">
        <w:rPr>
          <w:rFonts w:eastAsia="SimSun"/>
          <w:sz w:val="22"/>
          <w:szCs w:val="22"/>
          <w:lang w:eastAsia="zh-CN"/>
        </w:rPr>
        <w:t xml:space="preserve">in accordance with D.C. Code § 2-575(b)(13).  </w:t>
      </w:r>
    </w:p>
    <w:p w14:paraId="528A9FA8" w14:textId="77777777" w:rsidR="00501CA6" w:rsidRPr="003945A9" w:rsidRDefault="00501CA6" w:rsidP="00501CA6">
      <w:pPr>
        <w:ind w:left="270" w:firstLine="450"/>
        <w:contextualSpacing/>
        <w:jc w:val="both"/>
        <w:rPr>
          <w:rFonts w:eastAsia="SimSun"/>
          <w:b/>
          <w:sz w:val="12"/>
          <w:szCs w:val="12"/>
          <w:lang w:eastAsia="zh-CN"/>
        </w:rPr>
      </w:pPr>
      <w:r w:rsidRPr="00F61428">
        <w:rPr>
          <w:rFonts w:eastAsia="SimSun"/>
          <w:sz w:val="22"/>
          <w:szCs w:val="22"/>
          <w:lang w:eastAsia="zh-CN"/>
        </w:rPr>
        <w:t xml:space="preserve">         </w:t>
      </w:r>
    </w:p>
    <w:p w14:paraId="2B1BC1DB" w14:textId="77777777" w:rsidR="00501CA6" w:rsidRPr="00F61428" w:rsidRDefault="00501CA6" w:rsidP="00501CA6">
      <w:pPr>
        <w:widowControl/>
        <w:numPr>
          <w:ilvl w:val="1"/>
          <w:numId w:val="1"/>
        </w:numPr>
        <w:tabs>
          <w:tab w:val="clear" w:pos="1440"/>
          <w:tab w:val="num" w:pos="720"/>
        </w:tabs>
        <w:ind w:left="1170" w:hanging="900"/>
        <w:contextualSpacing/>
        <w:jc w:val="both"/>
        <w:rPr>
          <w:rFonts w:eastAsia="SimSun"/>
          <w:b/>
          <w:sz w:val="22"/>
          <w:szCs w:val="22"/>
          <w:lang w:eastAsia="zh-CN"/>
        </w:rPr>
      </w:pPr>
      <w:r w:rsidRPr="00F61428">
        <w:rPr>
          <w:rFonts w:eastAsia="SimSun"/>
          <w:b/>
          <w:sz w:val="22"/>
          <w:szCs w:val="22"/>
          <w:lang w:eastAsia="zh-CN"/>
        </w:rPr>
        <w:t>Open Portion Resumes</w:t>
      </w:r>
    </w:p>
    <w:p w14:paraId="62E8AF85" w14:textId="77777777" w:rsidR="00501CA6" w:rsidRPr="00F61428" w:rsidRDefault="00501CA6" w:rsidP="00501CA6">
      <w:pPr>
        <w:tabs>
          <w:tab w:val="num" w:pos="1080"/>
        </w:tabs>
        <w:ind w:left="1440" w:hanging="450"/>
        <w:contextualSpacing/>
        <w:jc w:val="both"/>
        <w:rPr>
          <w:rFonts w:eastAsia="SimSun"/>
          <w:b/>
          <w:sz w:val="12"/>
          <w:szCs w:val="12"/>
          <w:lang w:eastAsia="zh-CN"/>
        </w:rPr>
      </w:pPr>
    </w:p>
    <w:p w14:paraId="13A26DAA" w14:textId="77777777" w:rsidR="00501CA6" w:rsidRPr="00F61428" w:rsidRDefault="00501CA6" w:rsidP="00501CA6">
      <w:pPr>
        <w:widowControl/>
        <w:numPr>
          <w:ilvl w:val="1"/>
          <w:numId w:val="1"/>
        </w:numPr>
        <w:tabs>
          <w:tab w:val="clear" w:pos="1440"/>
          <w:tab w:val="num" w:pos="990"/>
        </w:tabs>
        <w:ind w:left="720" w:hanging="450"/>
        <w:contextualSpacing/>
        <w:jc w:val="both"/>
        <w:rPr>
          <w:rFonts w:eastAsia="SimSun"/>
          <w:b/>
          <w:sz w:val="22"/>
          <w:szCs w:val="22"/>
          <w:lang w:eastAsia="zh-CN"/>
        </w:rPr>
      </w:pPr>
      <w:r w:rsidRPr="00F61428">
        <w:rPr>
          <w:rFonts w:eastAsia="SimSun"/>
          <w:b/>
          <w:sz w:val="22"/>
          <w:szCs w:val="22"/>
          <w:lang w:eastAsia="zh-CN"/>
        </w:rPr>
        <w:t>Final Votes on Cases</w:t>
      </w:r>
    </w:p>
    <w:p w14:paraId="5955DF42" w14:textId="77777777" w:rsidR="00501CA6" w:rsidRPr="00F61428" w:rsidRDefault="00501CA6" w:rsidP="00501CA6">
      <w:pPr>
        <w:ind w:left="720" w:hanging="450"/>
        <w:contextualSpacing/>
        <w:rPr>
          <w:rFonts w:eastAsia="SimSun"/>
          <w:b/>
          <w:sz w:val="12"/>
          <w:szCs w:val="12"/>
          <w:lang w:eastAsia="zh-CN"/>
        </w:rPr>
      </w:pPr>
    </w:p>
    <w:p w14:paraId="4E62D246" w14:textId="77777777" w:rsidR="00501CA6" w:rsidRPr="00F61428" w:rsidRDefault="00501CA6" w:rsidP="00501CA6">
      <w:pPr>
        <w:widowControl/>
        <w:numPr>
          <w:ilvl w:val="1"/>
          <w:numId w:val="1"/>
        </w:numPr>
        <w:tabs>
          <w:tab w:val="clear" w:pos="1440"/>
          <w:tab w:val="left" w:pos="720"/>
          <w:tab w:val="num" w:pos="990"/>
        </w:tabs>
        <w:ind w:hanging="1170"/>
        <w:contextualSpacing/>
        <w:jc w:val="both"/>
        <w:rPr>
          <w:rFonts w:eastAsia="SimSun"/>
          <w:b/>
          <w:sz w:val="22"/>
          <w:szCs w:val="22"/>
          <w:lang w:eastAsia="zh-CN"/>
        </w:rPr>
      </w:pPr>
      <w:r w:rsidRPr="00F61428">
        <w:rPr>
          <w:rFonts w:eastAsia="SimSun"/>
          <w:b/>
          <w:sz w:val="22"/>
          <w:szCs w:val="22"/>
          <w:lang w:eastAsia="zh-CN"/>
        </w:rPr>
        <w:t>Public Comments</w:t>
      </w:r>
    </w:p>
    <w:p w14:paraId="4029A577" w14:textId="77777777" w:rsidR="00501CA6" w:rsidRPr="00F61428" w:rsidRDefault="00501CA6" w:rsidP="00501CA6">
      <w:pPr>
        <w:tabs>
          <w:tab w:val="left" w:pos="720"/>
        </w:tabs>
        <w:contextualSpacing/>
        <w:jc w:val="both"/>
        <w:rPr>
          <w:rFonts w:eastAsia="SimSun"/>
          <w:b/>
          <w:sz w:val="12"/>
          <w:szCs w:val="12"/>
          <w:lang w:eastAsia="zh-CN"/>
        </w:rPr>
      </w:pPr>
    </w:p>
    <w:p w14:paraId="18BD9E80" w14:textId="77777777" w:rsidR="00501CA6" w:rsidRPr="003945A9" w:rsidRDefault="00501CA6" w:rsidP="00501CA6">
      <w:pPr>
        <w:widowControl/>
        <w:numPr>
          <w:ilvl w:val="0"/>
          <w:numId w:val="1"/>
        </w:numPr>
        <w:tabs>
          <w:tab w:val="left" w:pos="720"/>
        </w:tabs>
        <w:ind w:left="540" w:hanging="540"/>
        <w:contextualSpacing/>
        <w:jc w:val="both"/>
        <w:rPr>
          <w:rFonts w:eastAsia="SimSun"/>
          <w:b/>
          <w:sz w:val="22"/>
          <w:szCs w:val="22"/>
          <w:lang w:eastAsia="zh-CN"/>
        </w:rPr>
      </w:pPr>
      <w:r w:rsidRPr="00F61428">
        <w:rPr>
          <w:rFonts w:eastAsia="SimSun"/>
          <w:b/>
          <w:sz w:val="22"/>
          <w:szCs w:val="22"/>
          <w:lang w:eastAsia="zh-CN"/>
        </w:rPr>
        <w:t xml:space="preserve">Adjournment </w:t>
      </w:r>
    </w:p>
    <w:p w14:paraId="3D7646ED" w14:textId="77777777" w:rsidR="00501CA6" w:rsidRDefault="00501CA6" w:rsidP="00501CA6">
      <w:pPr>
        <w:tabs>
          <w:tab w:val="left" w:pos="720"/>
        </w:tabs>
        <w:contextualSpacing/>
        <w:jc w:val="both"/>
        <w:rPr>
          <w:rFonts w:eastAsia="SimSun"/>
          <w:bCs/>
          <w:sz w:val="22"/>
          <w:szCs w:val="22"/>
          <w:lang w:eastAsia="zh-CN"/>
        </w:rPr>
      </w:pPr>
    </w:p>
    <w:p w14:paraId="7D8BD54D" w14:textId="77777777" w:rsidR="00501CA6" w:rsidRPr="003945A9" w:rsidRDefault="00501CA6" w:rsidP="00501CA6">
      <w:pPr>
        <w:tabs>
          <w:tab w:val="left" w:pos="720"/>
        </w:tabs>
        <w:contextualSpacing/>
        <w:jc w:val="both"/>
        <w:rPr>
          <w:rFonts w:eastAsia="SimSun"/>
          <w:b/>
          <w:sz w:val="22"/>
          <w:szCs w:val="22"/>
          <w:lang w:eastAsia="zh-CN"/>
        </w:rPr>
      </w:pPr>
      <w:r w:rsidRPr="00F61428">
        <w:rPr>
          <w:rFonts w:eastAsia="SimSun"/>
          <w:bCs/>
          <w:sz w:val="22"/>
          <w:szCs w:val="22"/>
          <w:lang w:eastAsia="zh-CN"/>
        </w:rPr>
        <w:t xml:space="preserve">“This meeting is governed by the Open Meetings Act.  Please address any questions or complaints arising under this meeting to the Office of Open Government at </w:t>
      </w:r>
      <w:hyperlink r:id="rId12" w:history="1">
        <w:r w:rsidRPr="00F61428">
          <w:rPr>
            <w:rStyle w:val="Hyperlink"/>
            <w:rFonts w:eastAsia="SimSun"/>
            <w:bCs/>
            <w:sz w:val="22"/>
            <w:szCs w:val="22"/>
            <w:lang w:eastAsia="zh-CN"/>
          </w:rPr>
          <w:t>opengovoffice@dc.gov</w:t>
        </w:r>
      </w:hyperlink>
      <w:r w:rsidRPr="00F61428">
        <w:rPr>
          <w:rFonts w:eastAsia="SimSun"/>
          <w:bCs/>
          <w:sz w:val="22"/>
          <w:szCs w:val="22"/>
          <w:lang w:eastAsia="zh-CN"/>
        </w:rPr>
        <w:t>.”</w:t>
      </w:r>
    </w:p>
    <w:p w14:paraId="7882D7B1" w14:textId="77777777" w:rsidR="00501CA6" w:rsidRPr="00CB2B33" w:rsidRDefault="00501CA6" w:rsidP="00501CA6">
      <w:pPr>
        <w:rPr>
          <w:sz w:val="22"/>
          <w:szCs w:val="22"/>
        </w:rPr>
      </w:pPr>
    </w:p>
    <w:p w14:paraId="4E9990B8" w14:textId="77777777" w:rsidR="00501CA6" w:rsidRDefault="00501CA6" w:rsidP="00501CA6"/>
    <w:p w14:paraId="364365BD" w14:textId="77777777" w:rsidR="00077364" w:rsidRDefault="00077364"/>
    <w:sectPr w:rsidR="000773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73A7" w14:textId="77777777" w:rsidR="00E63375" w:rsidRDefault="00E63375" w:rsidP="008D1283">
      <w:r>
        <w:separator/>
      </w:r>
    </w:p>
  </w:endnote>
  <w:endnote w:type="continuationSeparator" w:id="0">
    <w:p w14:paraId="76352471" w14:textId="77777777" w:rsidR="00E63375" w:rsidRDefault="00E63375" w:rsidP="008D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D8A8" w14:textId="77777777" w:rsidR="00E63375" w:rsidRDefault="00E63375" w:rsidP="008D1283">
      <w:r>
        <w:separator/>
      </w:r>
    </w:p>
  </w:footnote>
  <w:footnote w:type="continuationSeparator" w:id="0">
    <w:p w14:paraId="50AB94D8" w14:textId="77777777" w:rsidR="00E63375" w:rsidRDefault="00E63375" w:rsidP="008D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3F1C"/>
    <w:multiLevelType w:val="hybridMultilevel"/>
    <w:tmpl w:val="7DD86578"/>
    <w:lvl w:ilvl="0" w:tplc="600E7EF2">
      <w:start w:val="1"/>
      <w:numFmt w:val="upperRoman"/>
      <w:lvlText w:val="%1."/>
      <w:lvlJc w:val="left"/>
      <w:pPr>
        <w:tabs>
          <w:tab w:val="num" w:pos="1080"/>
        </w:tabs>
        <w:ind w:left="1080" w:hanging="720"/>
      </w:pPr>
      <w:rPr>
        <w:b/>
      </w:rPr>
    </w:lvl>
    <w:lvl w:ilvl="1" w:tplc="AE1E5B42">
      <w:start w:val="1"/>
      <w:numFmt w:val="upperLetter"/>
      <w:lvlText w:val="%2."/>
      <w:lvlJc w:val="left"/>
      <w:pPr>
        <w:tabs>
          <w:tab w:val="num" w:pos="1440"/>
        </w:tabs>
        <w:ind w:left="1440" w:hanging="360"/>
      </w:pPr>
      <w:rPr>
        <w:b/>
      </w:rPr>
    </w:lvl>
    <w:lvl w:ilvl="2" w:tplc="1496FC8C">
      <w:start w:val="1"/>
      <w:numFmt w:val="decimal"/>
      <w:lvlText w:val="%3."/>
      <w:lvlJc w:val="left"/>
      <w:pPr>
        <w:tabs>
          <w:tab w:val="num" w:pos="1620"/>
        </w:tabs>
        <w:ind w:left="1620" w:hanging="360"/>
      </w:pPr>
      <w:rPr>
        <w:b/>
        <w:bCs w:val="0"/>
        <w:color w:val="auto"/>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9965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A6"/>
    <w:rsid w:val="00002E26"/>
    <w:rsid w:val="00077364"/>
    <w:rsid w:val="00202ED0"/>
    <w:rsid w:val="003F4420"/>
    <w:rsid w:val="00465B14"/>
    <w:rsid w:val="00501CA6"/>
    <w:rsid w:val="005C20D5"/>
    <w:rsid w:val="005C5BF5"/>
    <w:rsid w:val="005D25E7"/>
    <w:rsid w:val="006B4E7B"/>
    <w:rsid w:val="00746ED9"/>
    <w:rsid w:val="00883151"/>
    <w:rsid w:val="008D1283"/>
    <w:rsid w:val="009B5394"/>
    <w:rsid w:val="00A8441A"/>
    <w:rsid w:val="00B72719"/>
    <w:rsid w:val="00B97AE4"/>
    <w:rsid w:val="00BD7208"/>
    <w:rsid w:val="00D406CA"/>
    <w:rsid w:val="00DB549D"/>
    <w:rsid w:val="00E60A68"/>
    <w:rsid w:val="00E63375"/>
    <w:rsid w:val="00E865B2"/>
    <w:rsid w:val="00F160FD"/>
    <w:rsid w:val="00FB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2348"/>
  <w15:chartTrackingRefBased/>
  <w15:docId w15:val="{A84A7AE5-D986-4D9F-B998-22430BDC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A6"/>
    <w:pPr>
      <w:widowControl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501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A6"/>
    <w:rPr>
      <w:rFonts w:eastAsiaTheme="majorEastAsia" w:cstheme="majorBidi"/>
      <w:color w:val="272727" w:themeColor="text1" w:themeTint="D8"/>
    </w:rPr>
  </w:style>
  <w:style w:type="paragraph" w:styleId="Title">
    <w:name w:val="Title"/>
    <w:basedOn w:val="Normal"/>
    <w:next w:val="Normal"/>
    <w:link w:val="TitleChar"/>
    <w:uiPriority w:val="10"/>
    <w:qFormat/>
    <w:rsid w:val="00501C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A6"/>
    <w:pPr>
      <w:spacing w:before="160"/>
      <w:jc w:val="center"/>
    </w:pPr>
    <w:rPr>
      <w:i/>
      <w:iCs/>
      <w:color w:val="404040" w:themeColor="text1" w:themeTint="BF"/>
    </w:rPr>
  </w:style>
  <w:style w:type="character" w:customStyle="1" w:styleId="QuoteChar">
    <w:name w:val="Quote Char"/>
    <w:basedOn w:val="DefaultParagraphFont"/>
    <w:link w:val="Quote"/>
    <w:uiPriority w:val="29"/>
    <w:rsid w:val="00501CA6"/>
    <w:rPr>
      <w:i/>
      <w:iCs/>
      <w:color w:val="404040" w:themeColor="text1" w:themeTint="BF"/>
    </w:rPr>
  </w:style>
  <w:style w:type="paragraph" w:styleId="ListParagraph">
    <w:name w:val="List Paragraph"/>
    <w:basedOn w:val="Normal"/>
    <w:uiPriority w:val="34"/>
    <w:qFormat/>
    <w:rsid w:val="00501CA6"/>
    <w:pPr>
      <w:ind w:left="720"/>
      <w:contextualSpacing/>
    </w:pPr>
  </w:style>
  <w:style w:type="character" w:styleId="IntenseEmphasis">
    <w:name w:val="Intense Emphasis"/>
    <w:basedOn w:val="DefaultParagraphFont"/>
    <w:uiPriority w:val="21"/>
    <w:qFormat/>
    <w:rsid w:val="00501CA6"/>
    <w:rPr>
      <w:i/>
      <w:iCs/>
      <w:color w:val="0F4761" w:themeColor="accent1" w:themeShade="BF"/>
    </w:rPr>
  </w:style>
  <w:style w:type="paragraph" w:styleId="IntenseQuote">
    <w:name w:val="Intense Quote"/>
    <w:basedOn w:val="Normal"/>
    <w:next w:val="Normal"/>
    <w:link w:val="IntenseQuoteChar"/>
    <w:uiPriority w:val="30"/>
    <w:qFormat/>
    <w:rsid w:val="00501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A6"/>
    <w:rPr>
      <w:i/>
      <w:iCs/>
      <w:color w:val="0F4761" w:themeColor="accent1" w:themeShade="BF"/>
    </w:rPr>
  </w:style>
  <w:style w:type="character" w:styleId="IntenseReference">
    <w:name w:val="Intense Reference"/>
    <w:basedOn w:val="DefaultParagraphFont"/>
    <w:uiPriority w:val="32"/>
    <w:qFormat/>
    <w:rsid w:val="00501CA6"/>
    <w:rPr>
      <w:b/>
      <w:bCs/>
      <w:smallCaps/>
      <w:color w:val="0F4761" w:themeColor="accent1" w:themeShade="BF"/>
      <w:spacing w:val="5"/>
    </w:rPr>
  </w:style>
  <w:style w:type="character" w:styleId="Hyperlink">
    <w:name w:val="Hyperlink"/>
    <w:basedOn w:val="DefaultParagraphFont"/>
    <w:uiPriority w:val="99"/>
    <w:unhideWhenUsed/>
    <w:rsid w:val="00501CA6"/>
    <w:rPr>
      <w:color w:val="467886" w:themeColor="hyperlink"/>
      <w:u w:val="single"/>
    </w:rPr>
  </w:style>
  <w:style w:type="character" w:styleId="UnresolvedMention">
    <w:name w:val="Unresolved Mention"/>
    <w:basedOn w:val="DefaultParagraphFont"/>
    <w:uiPriority w:val="99"/>
    <w:semiHidden/>
    <w:unhideWhenUsed/>
    <w:rsid w:val="00746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engovoffice@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ynter.clarke@dc.gov" TargetMode="External"/><Relationship Id="rId5" Type="http://schemas.openxmlformats.org/officeDocument/2006/relationships/styles" Target="styles.xml"/><Relationship Id="rId10" Type="http://schemas.openxmlformats.org/officeDocument/2006/relationships/hyperlink" Target="https://dcnet.webex.com/dcnet/j.php?MTID=m73fda4cbb934e6be02bf51394b486b4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10197A075D84086A39586F1A93F35" ma:contentTypeVersion="9" ma:contentTypeDescription="Create a new document." ma:contentTypeScope="" ma:versionID="4ff854b0fbb76802813fab7176931d6e">
  <xsd:schema xmlns:xsd="http://www.w3.org/2001/XMLSchema" xmlns:xs="http://www.w3.org/2001/XMLSchema" xmlns:p="http://schemas.microsoft.com/office/2006/metadata/properties" xmlns:ns3="9e83932e-f425-45b0-b5c6-fe405ab3be6e" xmlns:ns4="1ada1fbf-a224-4adf-a9d1-61fa4e3be8ae" targetNamespace="http://schemas.microsoft.com/office/2006/metadata/properties" ma:root="true" ma:fieldsID="f4debf0ab6bfaa7dbd55a7f308a8eac4" ns3:_="" ns4:_="">
    <xsd:import namespace="9e83932e-f425-45b0-b5c6-fe405ab3be6e"/>
    <xsd:import namespace="1ada1fbf-a224-4adf-a9d1-61fa4e3be8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3932e-f425-45b0-b5c6-fe405ab3b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a1fbf-a224-4adf-a9d1-61fa4e3be8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83932e-f425-45b0-b5c6-fe405ab3be6e" xsi:nil="true"/>
  </documentManagement>
</p:properties>
</file>

<file path=customXml/itemProps1.xml><?xml version="1.0" encoding="utf-8"?>
<ds:datastoreItem xmlns:ds="http://schemas.openxmlformats.org/officeDocument/2006/customXml" ds:itemID="{A3FD914F-4A1B-4624-AD97-4DD50C3E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3932e-f425-45b0-b5c6-fe405ab3be6e"/>
    <ds:schemaRef ds:uri="1ada1fbf-a224-4adf-a9d1-61fa4e3be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D9895-B9E0-47D2-9482-4B72495F3C6E}">
  <ds:schemaRefs>
    <ds:schemaRef ds:uri="http://schemas.microsoft.com/sharepoint/v3/contenttype/forms"/>
  </ds:schemaRefs>
</ds:datastoreItem>
</file>

<file path=customXml/itemProps3.xml><?xml version="1.0" encoding="utf-8"?>
<ds:datastoreItem xmlns:ds="http://schemas.openxmlformats.org/officeDocument/2006/customXml" ds:itemID="{0B4DF8D2-9D85-4D95-B3BB-D97AC14FC9DE}">
  <ds:schemaRefs>
    <ds:schemaRef ds:uri="http://schemas.microsoft.com/office/2006/metadata/properties"/>
    <ds:schemaRef ds:uri="http://schemas.microsoft.com/office/infopath/2007/PartnerControls"/>
    <ds:schemaRef ds:uri="9e83932e-f425-45b0-b5c6-fe405ab3be6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4230</Words>
  <Characters>24116</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Sommer J. (OEA)</dc:creator>
  <cp:keywords/>
  <dc:description/>
  <cp:lastModifiedBy>Clarke, Wynter (OEA)</cp:lastModifiedBy>
  <cp:revision>2</cp:revision>
  <cp:lastPrinted>2025-12-11T14:48:00Z</cp:lastPrinted>
  <dcterms:created xsi:type="dcterms:W3CDTF">2025-12-11T14:50:00Z</dcterms:created>
  <dcterms:modified xsi:type="dcterms:W3CDTF">2025-12-11T14:50:00Z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0x01010083D10197A075D84086A39586F1A93F35</vt:lpwstr>
  </property>
</Properties>
</file>