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6F3DF" w14:textId="77777777" w:rsidR="00D57B5D" w:rsidRPr="00746ED9" w:rsidRDefault="00D57B5D" w:rsidP="00D57B5D">
      <w:pPr>
        <w:jc w:val="center"/>
        <w:rPr>
          <w:b/>
          <w:bCs/>
          <w:color w:val="000000" w:themeColor="text1"/>
          <w:sz w:val="22"/>
          <w:szCs w:val="22"/>
          <w:lang w:eastAsia="zh-CN"/>
        </w:rPr>
      </w:pPr>
      <w:r w:rsidRPr="00746ED9">
        <w:rPr>
          <w:b/>
          <w:bCs/>
          <w:color w:val="000000" w:themeColor="text1"/>
          <w:sz w:val="22"/>
          <w:szCs w:val="22"/>
          <w:lang w:eastAsia="zh-CN"/>
        </w:rPr>
        <w:t>DISTRICT OF COLUMBIA</w:t>
      </w:r>
    </w:p>
    <w:p w14:paraId="0CD697FE" w14:textId="77777777" w:rsidR="00D57B5D" w:rsidRPr="00746ED9" w:rsidRDefault="00D57B5D" w:rsidP="00D57B5D">
      <w:pPr>
        <w:jc w:val="center"/>
        <w:rPr>
          <w:b/>
          <w:bCs/>
          <w:color w:val="000000" w:themeColor="text1"/>
          <w:sz w:val="22"/>
          <w:szCs w:val="22"/>
          <w:lang w:eastAsia="zh-CN"/>
        </w:rPr>
      </w:pPr>
      <w:r w:rsidRPr="00746ED9">
        <w:rPr>
          <w:b/>
          <w:bCs/>
          <w:color w:val="000000" w:themeColor="text1"/>
          <w:sz w:val="22"/>
          <w:szCs w:val="22"/>
          <w:lang w:eastAsia="zh-CN"/>
        </w:rPr>
        <w:t>OFFICE OF EMPLOYEE APPEALS</w:t>
      </w:r>
    </w:p>
    <w:p w14:paraId="1F91A6FE" w14:textId="77777777" w:rsidR="00D57B5D" w:rsidRPr="00176979" w:rsidRDefault="00D57B5D" w:rsidP="00D57B5D">
      <w:pPr>
        <w:jc w:val="center"/>
        <w:rPr>
          <w:b/>
          <w:bCs/>
          <w:color w:val="000000" w:themeColor="text1"/>
          <w:sz w:val="12"/>
          <w:szCs w:val="12"/>
          <w:lang w:eastAsia="zh-CN"/>
        </w:rPr>
      </w:pPr>
    </w:p>
    <w:p w14:paraId="31C02F32" w14:textId="77777777" w:rsidR="00D57B5D" w:rsidRPr="00746ED9" w:rsidRDefault="00D57B5D" w:rsidP="00D57B5D">
      <w:pPr>
        <w:jc w:val="center"/>
        <w:rPr>
          <w:b/>
          <w:bCs/>
          <w:color w:val="000000" w:themeColor="text1"/>
          <w:sz w:val="22"/>
          <w:szCs w:val="22"/>
          <w:lang w:eastAsia="zh-CN"/>
        </w:rPr>
      </w:pPr>
      <w:r w:rsidRPr="00746ED9">
        <w:rPr>
          <w:b/>
          <w:bCs/>
          <w:color w:val="000000" w:themeColor="text1"/>
          <w:sz w:val="22"/>
          <w:szCs w:val="22"/>
          <w:lang w:eastAsia="zh-CN"/>
        </w:rPr>
        <w:t>NOTICE OF PUBLIC MEETING</w:t>
      </w:r>
    </w:p>
    <w:p w14:paraId="34DF7199" w14:textId="77777777" w:rsidR="00D57B5D" w:rsidRPr="00176979" w:rsidRDefault="00D57B5D" w:rsidP="00D57B5D">
      <w:pPr>
        <w:jc w:val="both"/>
        <w:rPr>
          <w:b/>
          <w:bCs/>
          <w:color w:val="000000" w:themeColor="text1"/>
          <w:sz w:val="12"/>
          <w:szCs w:val="12"/>
          <w:lang w:eastAsia="zh-CN"/>
        </w:rPr>
      </w:pPr>
      <w:r w:rsidRPr="00746ED9">
        <w:rPr>
          <w:b/>
          <w:bCs/>
          <w:color w:val="000000" w:themeColor="text1"/>
          <w:sz w:val="22"/>
          <w:szCs w:val="22"/>
          <w:lang w:eastAsia="zh-CN"/>
        </w:rPr>
        <w:t> </w:t>
      </w:r>
    </w:p>
    <w:p w14:paraId="461C8CF3" w14:textId="18C5688B" w:rsidR="00B500D0" w:rsidRPr="00B500D0" w:rsidRDefault="00B500D0" w:rsidP="00B500D0">
      <w:pPr>
        <w:contextualSpacing/>
        <w:jc w:val="both"/>
        <w:rPr>
          <w:sz w:val="22"/>
          <w:szCs w:val="22"/>
        </w:rPr>
      </w:pPr>
      <w:r w:rsidRPr="00B500D0">
        <w:rPr>
          <w:sz w:val="22"/>
          <w:szCs w:val="22"/>
        </w:rPr>
        <w:t xml:space="preserve">The District of Columbia Office of Employee Appeals will hold a meeting on </w:t>
      </w:r>
      <w:r w:rsidR="0085002B">
        <w:rPr>
          <w:sz w:val="22"/>
          <w:szCs w:val="22"/>
        </w:rPr>
        <w:t>November 5</w:t>
      </w:r>
      <w:r w:rsidRPr="00B500D0">
        <w:rPr>
          <w:sz w:val="22"/>
          <w:szCs w:val="22"/>
        </w:rPr>
        <w:t>, 2026, at 9:30 a.m. The Board will meet remotely. Below is the agenda for the meeting.</w:t>
      </w:r>
    </w:p>
    <w:p w14:paraId="0E32B40A" w14:textId="77777777" w:rsidR="00D57B5D" w:rsidRPr="00D87F65" w:rsidRDefault="00D57B5D" w:rsidP="00D57B5D">
      <w:pPr>
        <w:contextualSpacing/>
        <w:jc w:val="both"/>
        <w:rPr>
          <w:sz w:val="12"/>
          <w:szCs w:val="12"/>
        </w:rPr>
      </w:pPr>
    </w:p>
    <w:p w14:paraId="0DD15CF5" w14:textId="33E7DF06" w:rsidR="0021709A" w:rsidRDefault="00D57B5D" w:rsidP="00D57B5D">
      <w:pPr>
        <w:contextualSpacing/>
        <w:jc w:val="both"/>
        <w:rPr>
          <w:sz w:val="22"/>
          <w:szCs w:val="22"/>
        </w:rPr>
      </w:pPr>
      <w:r w:rsidRPr="0021709A">
        <w:rPr>
          <w:sz w:val="22"/>
          <w:szCs w:val="22"/>
        </w:rPr>
        <w:t xml:space="preserve">Members of the public are welcome to observe the meeting. In order to attend the meeting, please visit: </w:t>
      </w:r>
    </w:p>
    <w:p w14:paraId="6EB4F9DB" w14:textId="7A9F056B" w:rsidR="00D57B5D" w:rsidRDefault="0021709A" w:rsidP="00D57B5D">
      <w:pPr>
        <w:contextualSpacing/>
        <w:jc w:val="both"/>
        <w:rPr>
          <w:sz w:val="22"/>
          <w:szCs w:val="22"/>
        </w:rPr>
      </w:pPr>
      <w:hyperlink r:id="rId8" w:history="1">
        <w:r w:rsidRPr="00A05065">
          <w:rPr>
            <w:rStyle w:val="Hyperlink"/>
            <w:sz w:val="22"/>
            <w:szCs w:val="22"/>
          </w:rPr>
          <w:t>https://dcnet.webex.com/dcnet/j.php?MTID=m64365c793d2b53b89927eab4e7787317</w:t>
        </w:r>
      </w:hyperlink>
    </w:p>
    <w:p w14:paraId="003D5456" w14:textId="77777777" w:rsidR="0021709A" w:rsidRPr="00D87F65" w:rsidRDefault="0021709A" w:rsidP="00D57B5D">
      <w:pPr>
        <w:contextualSpacing/>
        <w:jc w:val="both"/>
        <w:rPr>
          <w:sz w:val="12"/>
          <w:szCs w:val="12"/>
        </w:rPr>
      </w:pPr>
    </w:p>
    <w:p w14:paraId="2FE22A97" w14:textId="77777777" w:rsidR="00D57B5D" w:rsidRPr="00D87F65" w:rsidRDefault="00D57B5D" w:rsidP="00D57B5D">
      <w:pPr>
        <w:contextualSpacing/>
        <w:jc w:val="both"/>
        <w:rPr>
          <w:sz w:val="22"/>
          <w:szCs w:val="22"/>
        </w:rPr>
      </w:pPr>
      <w:r w:rsidRPr="00D87F65">
        <w:rPr>
          <w:sz w:val="22"/>
          <w:szCs w:val="22"/>
        </w:rPr>
        <w:t>Password: Board (26274 from phones and video systems)</w:t>
      </w:r>
    </w:p>
    <w:p w14:paraId="1288A937" w14:textId="77777777" w:rsidR="00D57B5D" w:rsidRPr="00D87F65" w:rsidRDefault="00D57B5D" w:rsidP="00D57B5D">
      <w:pPr>
        <w:contextualSpacing/>
        <w:jc w:val="both"/>
        <w:rPr>
          <w:sz w:val="12"/>
          <w:szCs w:val="12"/>
        </w:rPr>
      </w:pPr>
    </w:p>
    <w:p w14:paraId="0B78865C" w14:textId="77777777" w:rsidR="00D57B5D" w:rsidRPr="00D87F65" w:rsidRDefault="00D57B5D" w:rsidP="00D57B5D">
      <w:pPr>
        <w:contextualSpacing/>
        <w:jc w:val="both"/>
        <w:rPr>
          <w:sz w:val="22"/>
          <w:szCs w:val="22"/>
        </w:rPr>
      </w:pPr>
      <w:r w:rsidRPr="00D87F65">
        <w:rPr>
          <w:sz w:val="22"/>
          <w:szCs w:val="22"/>
        </w:rPr>
        <w:t>We recommend logging in ten (10) minutes before the meeting starts. In order to access Webex, laptop or desktop computer users must use Google Chrome, Firefox, or Microsoft Edge Browsers.</w:t>
      </w:r>
    </w:p>
    <w:p w14:paraId="29C73E15" w14:textId="77777777" w:rsidR="00D57B5D" w:rsidRPr="00D87F65" w:rsidRDefault="00D57B5D" w:rsidP="00D57B5D">
      <w:pPr>
        <w:contextualSpacing/>
        <w:jc w:val="both"/>
        <w:rPr>
          <w:sz w:val="12"/>
          <w:szCs w:val="12"/>
        </w:rPr>
      </w:pPr>
    </w:p>
    <w:p w14:paraId="5BA56A1E" w14:textId="77777777" w:rsidR="00D57B5D" w:rsidRPr="00D87F65" w:rsidRDefault="00D57B5D" w:rsidP="00D57B5D">
      <w:pPr>
        <w:contextualSpacing/>
        <w:jc w:val="both"/>
        <w:rPr>
          <w:sz w:val="22"/>
          <w:szCs w:val="22"/>
        </w:rPr>
      </w:pPr>
      <w:r w:rsidRPr="00D87F65">
        <w:rPr>
          <w:sz w:val="22"/>
          <w:szCs w:val="22"/>
        </w:rPr>
        <w:t xml:space="preserve">Smartphone/Tablets or iPad user must first go to the App Store, download the Webex App (Cisco Webex Meetings), enter the Access Code, and enter your name, email address, and click Join. It is recommended that a laptop or desktop computer be utilized for this platform.  </w:t>
      </w:r>
    </w:p>
    <w:p w14:paraId="73E4ED77" w14:textId="77777777" w:rsidR="00D57B5D" w:rsidRPr="00D87F65" w:rsidRDefault="00D57B5D" w:rsidP="00D57B5D">
      <w:pPr>
        <w:contextualSpacing/>
        <w:jc w:val="both"/>
        <w:rPr>
          <w:sz w:val="12"/>
          <w:szCs w:val="12"/>
        </w:rPr>
      </w:pPr>
    </w:p>
    <w:p w14:paraId="3076F600" w14:textId="77777777" w:rsidR="00D57B5D" w:rsidRPr="00D87F65" w:rsidRDefault="00D57B5D" w:rsidP="00D57B5D">
      <w:pPr>
        <w:contextualSpacing/>
        <w:jc w:val="both"/>
        <w:rPr>
          <w:sz w:val="22"/>
          <w:szCs w:val="22"/>
        </w:rPr>
      </w:pPr>
      <w:r w:rsidRPr="00D87F65">
        <w:rPr>
          <w:sz w:val="22"/>
          <w:szCs w:val="22"/>
        </w:rPr>
        <w:t xml:space="preserve">Your computer, tablet, or smartphone’s built-in speaker and microphone will be used in the virtual meeting unless you use a headset.  Headsets provide better sound quality and privacy.  </w:t>
      </w:r>
    </w:p>
    <w:p w14:paraId="5EC83CEF" w14:textId="77777777" w:rsidR="00D57B5D" w:rsidRPr="00D87F65" w:rsidRDefault="00D57B5D" w:rsidP="00D57B5D">
      <w:pPr>
        <w:contextualSpacing/>
        <w:jc w:val="both"/>
        <w:rPr>
          <w:sz w:val="12"/>
          <w:szCs w:val="12"/>
        </w:rPr>
      </w:pPr>
    </w:p>
    <w:p w14:paraId="7BA5ACFC" w14:textId="61295158" w:rsidR="007A2411" w:rsidRPr="007A2411" w:rsidRDefault="007A2411" w:rsidP="007A2411">
      <w:pPr>
        <w:contextualSpacing/>
        <w:jc w:val="both"/>
        <w:rPr>
          <w:sz w:val="22"/>
          <w:szCs w:val="22"/>
        </w:rPr>
      </w:pPr>
      <w:r w:rsidRPr="007A2411">
        <w:rPr>
          <w:sz w:val="22"/>
          <w:szCs w:val="22"/>
        </w:rPr>
        <w:t xml:space="preserve">If you do not have access to the internet, please call-in toll number (US/Canada) 1-650-479-3208, Access Code: </w:t>
      </w:r>
      <w:r w:rsidR="0021709A" w:rsidRPr="0021709A">
        <w:rPr>
          <w:sz w:val="22"/>
          <w:szCs w:val="22"/>
        </w:rPr>
        <w:t> 2315 549 9342</w:t>
      </w:r>
    </w:p>
    <w:p w14:paraId="395F4040" w14:textId="77777777" w:rsidR="00D57B5D" w:rsidRPr="00D87F65" w:rsidRDefault="00D57B5D" w:rsidP="00D57B5D">
      <w:pPr>
        <w:contextualSpacing/>
        <w:jc w:val="both"/>
        <w:rPr>
          <w:sz w:val="12"/>
          <w:szCs w:val="12"/>
        </w:rPr>
      </w:pPr>
    </w:p>
    <w:p w14:paraId="16309897" w14:textId="77777777" w:rsidR="00D57B5D" w:rsidRPr="006E7BBB" w:rsidRDefault="00D57B5D" w:rsidP="00D57B5D">
      <w:pPr>
        <w:contextualSpacing/>
        <w:jc w:val="both"/>
        <w:rPr>
          <w:sz w:val="22"/>
          <w:szCs w:val="22"/>
        </w:rPr>
      </w:pPr>
      <w:r w:rsidRPr="00D87F65">
        <w:rPr>
          <w:sz w:val="22"/>
          <w:szCs w:val="22"/>
        </w:rPr>
        <w:t xml:space="preserve">Questions about the meeting may be directed to </w:t>
      </w:r>
      <w:hyperlink r:id="rId9" w:history="1">
        <w:r w:rsidRPr="00D87F65">
          <w:rPr>
            <w:rStyle w:val="Hyperlink"/>
            <w:color w:val="auto"/>
            <w:sz w:val="22"/>
            <w:szCs w:val="22"/>
          </w:rPr>
          <w:t>wynter.clarke@dc.gov</w:t>
        </w:r>
      </w:hyperlink>
      <w:r w:rsidRPr="00D87F65">
        <w:rPr>
          <w:sz w:val="22"/>
          <w:szCs w:val="22"/>
        </w:rPr>
        <w:t>.</w:t>
      </w:r>
    </w:p>
    <w:p w14:paraId="615A9B51" w14:textId="77777777" w:rsidR="00D57B5D" w:rsidRPr="00E52BC3" w:rsidRDefault="00D57B5D" w:rsidP="00D57B5D">
      <w:pPr>
        <w:rPr>
          <w:color w:val="000000" w:themeColor="text1"/>
          <w:sz w:val="22"/>
          <w:szCs w:val="22"/>
          <w:highlight w:val="yellow"/>
          <w:lang w:eastAsia="zh-CN"/>
        </w:rPr>
      </w:pPr>
    </w:p>
    <w:p w14:paraId="6C0550AF" w14:textId="77777777" w:rsidR="00D57B5D" w:rsidRPr="00B71DF0" w:rsidRDefault="00D57B5D" w:rsidP="00D57B5D">
      <w:pPr>
        <w:jc w:val="center"/>
        <w:rPr>
          <w:rFonts w:eastAsia="SimSun"/>
          <w:b/>
          <w:sz w:val="22"/>
          <w:szCs w:val="22"/>
          <w:lang w:eastAsia="zh-CN"/>
        </w:rPr>
      </w:pPr>
      <w:r w:rsidRPr="00B71DF0">
        <w:rPr>
          <w:rFonts w:eastAsia="SimSun"/>
          <w:b/>
          <w:sz w:val="22"/>
          <w:szCs w:val="22"/>
          <w:lang w:eastAsia="zh-CN"/>
        </w:rPr>
        <w:t>Agenda</w:t>
      </w:r>
    </w:p>
    <w:p w14:paraId="22F536BF" w14:textId="77777777" w:rsidR="00D57B5D" w:rsidRPr="00B71DF0" w:rsidRDefault="00D57B5D" w:rsidP="00D57B5D">
      <w:pPr>
        <w:jc w:val="center"/>
        <w:rPr>
          <w:rFonts w:eastAsia="SimSun"/>
          <w:sz w:val="22"/>
          <w:szCs w:val="22"/>
          <w:lang w:eastAsia="zh-CN"/>
        </w:rPr>
      </w:pPr>
      <w:r w:rsidRPr="00B71DF0">
        <w:rPr>
          <w:rFonts w:eastAsia="SimSun"/>
          <w:sz w:val="22"/>
          <w:szCs w:val="22"/>
          <w:lang w:eastAsia="zh-CN"/>
        </w:rPr>
        <w:t>D.C. OFFICE OF EMPLOYEE APPEALS (“OEA”) BOARD MEETING</w:t>
      </w:r>
    </w:p>
    <w:p w14:paraId="344209E4" w14:textId="1BA70F7D" w:rsidR="00D57B5D" w:rsidRPr="00B71DF0" w:rsidRDefault="00D57B5D" w:rsidP="00D57B5D">
      <w:pPr>
        <w:jc w:val="center"/>
        <w:rPr>
          <w:rFonts w:eastAsia="SimSun"/>
          <w:sz w:val="22"/>
          <w:szCs w:val="22"/>
          <w:lang w:eastAsia="zh-CN"/>
        </w:rPr>
      </w:pPr>
      <w:r w:rsidRPr="009C2EE4">
        <w:rPr>
          <w:rFonts w:eastAsia="SimSun"/>
          <w:sz w:val="22"/>
          <w:szCs w:val="22"/>
          <w:lang w:eastAsia="zh-CN"/>
        </w:rPr>
        <w:t xml:space="preserve">Thursday, </w:t>
      </w:r>
      <w:r w:rsidR="0021709A">
        <w:rPr>
          <w:rFonts w:eastAsia="SimSun"/>
          <w:sz w:val="22"/>
          <w:szCs w:val="22"/>
          <w:lang w:eastAsia="zh-CN"/>
        </w:rPr>
        <w:t>November 5</w:t>
      </w:r>
      <w:r w:rsidR="008125F8">
        <w:rPr>
          <w:rFonts w:eastAsia="SimSun"/>
          <w:sz w:val="22"/>
          <w:szCs w:val="22"/>
          <w:lang w:eastAsia="zh-CN"/>
        </w:rPr>
        <w:t>,</w:t>
      </w:r>
      <w:r>
        <w:rPr>
          <w:rFonts w:eastAsia="SimSun"/>
          <w:sz w:val="22"/>
          <w:szCs w:val="22"/>
          <w:lang w:eastAsia="zh-CN"/>
        </w:rPr>
        <w:t xml:space="preserve"> 2026</w:t>
      </w:r>
      <w:r w:rsidRPr="009C2EE4">
        <w:rPr>
          <w:rFonts w:eastAsia="SimSun"/>
          <w:sz w:val="22"/>
          <w:szCs w:val="22"/>
          <w:lang w:eastAsia="zh-CN"/>
        </w:rPr>
        <w:t>, at 9:30 a.m.</w:t>
      </w:r>
    </w:p>
    <w:p w14:paraId="648234C3" w14:textId="77777777" w:rsidR="00D57B5D" w:rsidRPr="00B71DF0" w:rsidRDefault="00D57B5D" w:rsidP="00D57B5D">
      <w:pPr>
        <w:jc w:val="center"/>
        <w:rPr>
          <w:rFonts w:eastAsia="SimSun"/>
          <w:sz w:val="22"/>
          <w:szCs w:val="22"/>
          <w:lang w:eastAsia="zh-CN"/>
        </w:rPr>
      </w:pPr>
      <w:r w:rsidRPr="00B71DF0">
        <w:rPr>
          <w:rFonts w:eastAsia="SimSun"/>
          <w:sz w:val="22"/>
          <w:szCs w:val="22"/>
          <w:lang w:eastAsia="zh-CN"/>
        </w:rPr>
        <w:t>Location: Virtual Meeting via Webex</w:t>
      </w:r>
    </w:p>
    <w:p w14:paraId="722EFADF" w14:textId="77777777" w:rsidR="00D57B5D" w:rsidRPr="003B5B18" w:rsidRDefault="00D57B5D" w:rsidP="00D57B5D">
      <w:pPr>
        <w:jc w:val="center"/>
        <w:rPr>
          <w:rFonts w:eastAsia="SimSun"/>
          <w:sz w:val="12"/>
          <w:szCs w:val="12"/>
          <w:lang w:eastAsia="zh-CN"/>
        </w:rPr>
      </w:pPr>
    </w:p>
    <w:p w14:paraId="0F5B3BA5" w14:textId="77777777" w:rsidR="00D57B5D" w:rsidRPr="00B71DF0" w:rsidRDefault="00D57B5D" w:rsidP="00D57B5D">
      <w:pPr>
        <w:widowControl/>
        <w:numPr>
          <w:ilvl w:val="0"/>
          <w:numId w:val="1"/>
        </w:numPr>
        <w:tabs>
          <w:tab w:val="num" w:pos="450"/>
        </w:tabs>
        <w:ind w:hanging="1080"/>
        <w:contextualSpacing/>
        <w:jc w:val="both"/>
        <w:rPr>
          <w:rFonts w:eastAsia="SimSun"/>
          <w:sz w:val="22"/>
          <w:szCs w:val="22"/>
          <w:lang w:eastAsia="zh-CN"/>
        </w:rPr>
      </w:pPr>
      <w:r w:rsidRPr="00B71DF0">
        <w:rPr>
          <w:rFonts w:eastAsia="SimSun"/>
          <w:b/>
          <w:sz w:val="22"/>
          <w:szCs w:val="22"/>
          <w:lang w:eastAsia="zh-CN"/>
        </w:rPr>
        <w:t xml:space="preserve">Call to Order </w:t>
      </w:r>
    </w:p>
    <w:p w14:paraId="3A0BDB85" w14:textId="77777777" w:rsidR="00D57B5D" w:rsidRPr="00A012BA" w:rsidRDefault="00D57B5D" w:rsidP="00D57B5D">
      <w:pPr>
        <w:ind w:left="1080"/>
        <w:contextualSpacing/>
        <w:jc w:val="both"/>
        <w:rPr>
          <w:rFonts w:eastAsia="SimSun"/>
          <w:sz w:val="12"/>
          <w:szCs w:val="12"/>
          <w:lang w:eastAsia="zh-CN"/>
        </w:rPr>
      </w:pPr>
    </w:p>
    <w:p w14:paraId="73F14818" w14:textId="77777777" w:rsidR="00D57B5D" w:rsidRPr="00B71DF0" w:rsidRDefault="00D57B5D" w:rsidP="00D57B5D">
      <w:pPr>
        <w:widowControl/>
        <w:numPr>
          <w:ilvl w:val="0"/>
          <w:numId w:val="1"/>
        </w:numPr>
        <w:tabs>
          <w:tab w:val="num" w:pos="450"/>
          <w:tab w:val="num" w:pos="720"/>
          <w:tab w:val="left" w:pos="900"/>
        </w:tabs>
        <w:ind w:hanging="1080"/>
        <w:contextualSpacing/>
        <w:jc w:val="both"/>
        <w:rPr>
          <w:rFonts w:eastAsia="SimSun"/>
          <w:sz w:val="22"/>
          <w:szCs w:val="22"/>
          <w:lang w:eastAsia="zh-CN"/>
        </w:rPr>
      </w:pPr>
      <w:r w:rsidRPr="00B71DF0">
        <w:rPr>
          <w:rFonts w:eastAsia="SimSun"/>
          <w:b/>
          <w:sz w:val="22"/>
          <w:szCs w:val="22"/>
          <w:lang w:eastAsia="zh-CN"/>
        </w:rPr>
        <w:t>Ascertainment of Quorum</w:t>
      </w:r>
    </w:p>
    <w:p w14:paraId="0A67A534" w14:textId="77777777" w:rsidR="00D57B5D" w:rsidRPr="00A012BA" w:rsidRDefault="00D57B5D" w:rsidP="00D57B5D">
      <w:pPr>
        <w:ind w:left="720"/>
        <w:contextualSpacing/>
        <w:rPr>
          <w:rFonts w:eastAsia="SimSun"/>
          <w:sz w:val="12"/>
          <w:szCs w:val="12"/>
          <w:lang w:eastAsia="zh-CN"/>
        </w:rPr>
      </w:pPr>
    </w:p>
    <w:p w14:paraId="45395F55" w14:textId="77777777" w:rsidR="00D57B5D" w:rsidRPr="00B71DF0" w:rsidRDefault="00D57B5D" w:rsidP="00D57B5D">
      <w:pPr>
        <w:widowControl/>
        <w:numPr>
          <w:ilvl w:val="0"/>
          <w:numId w:val="1"/>
        </w:numPr>
        <w:tabs>
          <w:tab w:val="num" w:pos="450"/>
        </w:tabs>
        <w:ind w:hanging="1080"/>
        <w:contextualSpacing/>
        <w:jc w:val="both"/>
        <w:rPr>
          <w:rFonts w:eastAsia="SimSun"/>
          <w:b/>
          <w:sz w:val="22"/>
          <w:szCs w:val="22"/>
          <w:lang w:eastAsia="zh-CN"/>
        </w:rPr>
      </w:pPr>
      <w:r w:rsidRPr="00B71DF0">
        <w:rPr>
          <w:rFonts w:eastAsia="SimSun"/>
          <w:b/>
          <w:sz w:val="22"/>
          <w:szCs w:val="22"/>
          <w:lang w:eastAsia="zh-CN"/>
        </w:rPr>
        <w:t>Adoption of Agenda</w:t>
      </w:r>
    </w:p>
    <w:p w14:paraId="450B167F" w14:textId="77777777" w:rsidR="00D57B5D" w:rsidRPr="00A012BA" w:rsidRDefault="00D57B5D" w:rsidP="00D57B5D">
      <w:pPr>
        <w:ind w:left="1080"/>
        <w:contextualSpacing/>
        <w:jc w:val="both"/>
        <w:rPr>
          <w:rFonts w:eastAsia="SimSun"/>
          <w:sz w:val="12"/>
          <w:szCs w:val="12"/>
          <w:lang w:eastAsia="zh-CN"/>
        </w:rPr>
      </w:pPr>
    </w:p>
    <w:p w14:paraId="556ADF13" w14:textId="77777777" w:rsidR="00D57B5D" w:rsidRPr="00B71DF0" w:rsidRDefault="00D57B5D" w:rsidP="00D57B5D">
      <w:pPr>
        <w:widowControl/>
        <w:numPr>
          <w:ilvl w:val="0"/>
          <w:numId w:val="1"/>
        </w:numPr>
        <w:tabs>
          <w:tab w:val="num" w:pos="450"/>
        </w:tabs>
        <w:ind w:hanging="1080"/>
        <w:jc w:val="both"/>
        <w:rPr>
          <w:rFonts w:eastAsia="SimSun"/>
          <w:b/>
          <w:sz w:val="22"/>
          <w:szCs w:val="22"/>
          <w:lang w:eastAsia="zh-CN"/>
        </w:rPr>
      </w:pPr>
      <w:r w:rsidRPr="00B71DF0">
        <w:rPr>
          <w:rFonts w:eastAsia="SimSun"/>
          <w:b/>
          <w:sz w:val="22"/>
          <w:szCs w:val="22"/>
          <w:lang w:eastAsia="zh-CN"/>
        </w:rPr>
        <w:t>Minutes Reviewed from Previous Meeting</w:t>
      </w:r>
    </w:p>
    <w:p w14:paraId="7FFCCD0A" w14:textId="77777777" w:rsidR="00D57B5D" w:rsidRPr="00A012BA" w:rsidRDefault="00D57B5D" w:rsidP="00D57B5D">
      <w:pPr>
        <w:tabs>
          <w:tab w:val="left" w:pos="1133"/>
        </w:tabs>
        <w:jc w:val="both"/>
        <w:rPr>
          <w:rFonts w:eastAsia="Calibri"/>
          <w:sz w:val="12"/>
          <w:szCs w:val="12"/>
        </w:rPr>
      </w:pPr>
      <w:r w:rsidRPr="00B71DF0">
        <w:rPr>
          <w:rFonts w:eastAsia="Calibri"/>
          <w:sz w:val="22"/>
          <w:szCs w:val="22"/>
        </w:rPr>
        <w:tab/>
      </w:r>
    </w:p>
    <w:p w14:paraId="2053037A" w14:textId="77777777" w:rsidR="00D57B5D" w:rsidRPr="00B71DF0" w:rsidRDefault="00D57B5D" w:rsidP="00D57B5D">
      <w:pPr>
        <w:widowControl/>
        <w:numPr>
          <w:ilvl w:val="0"/>
          <w:numId w:val="1"/>
        </w:numPr>
        <w:tabs>
          <w:tab w:val="num" w:pos="450"/>
        </w:tabs>
        <w:ind w:hanging="1080"/>
        <w:contextualSpacing/>
        <w:jc w:val="both"/>
        <w:rPr>
          <w:rFonts w:eastAsia="SimSun"/>
          <w:b/>
          <w:sz w:val="22"/>
          <w:szCs w:val="22"/>
          <w:lang w:eastAsia="zh-CN"/>
        </w:rPr>
      </w:pPr>
      <w:r w:rsidRPr="00B71DF0">
        <w:rPr>
          <w:rFonts w:eastAsia="SimSun"/>
          <w:b/>
          <w:sz w:val="22"/>
          <w:szCs w:val="22"/>
          <w:lang w:eastAsia="zh-CN"/>
        </w:rPr>
        <w:t>New Business</w:t>
      </w:r>
    </w:p>
    <w:p w14:paraId="2BB92920" w14:textId="77777777" w:rsidR="00D57B5D" w:rsidRPr="00E41D8F" w:rsidRDefault="00D57B5D" w:rsidP="00D57B5D">
      <w:pPr>
        <w:contextualSpacing/>
        <w:jc w:val="both"/>
        <w:rPr>
          <w:rFonts w:eastAsia="SimSun"/>
          <w:sz w:val="12"/>
          <w:szCs w:val="12"/>
          <w:lang w:eastAsia="zh-CN"/>
        </w:rPr>
      </w:pPr>
    </w:p>
    <w:p w14:paraId="2C735616" w14:textId="77777777" w:rsidR="00D57B5D" w:rsidRPr="00DD43BD" w:rsidRDefault="00D57B5D" w:rsidP="00DD43BD">
      <w:pPr>
        <w:widowControl/>
        <w:numPr>
          <w:ilvl w:val="1"/>
          <w:numId w:val="1"/>
        </w:numPr>
        <w:tabs>
          <w:tab w:val="num" w:pos="900"/>
        </w:tabs>
        <w:ind w:hanging="990"/>
        <w:contextualSpacing/>
        <w:jc w:val="both"/>
        <w:rPr>
          <w:rFonts w:eastAsia="SimSun"/>
          <w:b/>
          <w:sz w:val="22"/>
          <w:szCs w:val="22"/>
          <w:lang w:eastAsia="zh-CN"/>
        </w:rPr>
      </w:pPr>
      <w:r w:rsidRPr="00DD43BD">
        <w:rPr>
          <w:rFonts w:eastAsia="SimSun"/>
          <w:b/>
          <w:sz w:val="22"/>
          <w:szCs w:val="22"/>
          <w:lang w:eastAsia="zh-CN"/>
        </w:rPr>
        <w:t>Summary of Cases</w:t>
      </w:r>
    </w:p>
    <w:p w14:paraId="5FBA4F13" w14:textId="77777777" w:rsidR="00D57B5D" w:rsidRPr="00E60A68" w:rsidRDefault="00D57B5D" w:rsidP="00D57B5D">
      <w:pPr>
        <w:pStyle w:val="ListParagraph"/>
        <w:rPr>
          <w:rFonts w:eastAsia="SimSun"/>
          <w:b/>
          <w:sz w:val="12"/>
          <w:szCs w:val="12"/>
          <w:lang w:eastAsia="zh-CN"/>
        </w:rPr>
      </w:pPr>
    </w:p>
    <w:p w14:paraId="2703FEB1" w14:textId="08B17C5C" w:rsidR="0085002B" w:rsidRPr="0085002B" w:rsidRDefault="0085002B" w:rsidP="0085002B">
      <w:pPr>
        <w:pStyle w:val="ListParagraph"/>
        <w:numPr>
          <w:ilvl w:val="2"/>
          <w:numId w:val="1"/>
        </w:numPr>
        <w:jc w:val="both"/>
        <w:rPr>
          <w:sz w:val="22"/>
          <w:szCs w:val="22"/>
        </w:rPr>
      </w:pPr>
      <w:r w:rsidRPr="0085002B">
        <w:rPr>
          <w:b/>
          <w:bCs/>
          <w:sz w:val="22"/>
          <w:szCs w:val="22"/>
        </w:rPr>
        <w:t xml:space="preserve">Employee v. D.C. Department of Corrections, OEA Matter No. 1601-0044-24 </w:t>
      </w:r>
      <w:r w:rsidRPr="0085002B">
        <w:rPr>
          <w:rFonts w:eastAsia="SimSun"/>
          <w:b/>
          <w:bCs/>
          <w:sz w:val="22"/>
          <w:szCs w:val="22"/>
          <w:lang w:eastAsia="zh-CN"/>
        </w:rPr>
        <w:t xml:space="preserve">– </w:t>
      </w:r>
      <w:r w:rsidRPr="0085002B">
        <w:rPr>
          <w:sz w:val="22"/>
          <w:szCs w:val="22"/>
        </w:rPr>
        <w:t xml:space="preserve">Employee worked as a Correctional Officer with the D.C. Department of Corrections (“Agency”). On March 14, 2024, Agency issued a final notice of separation informing Employee that he would be removed from his position in accordance with 6-B District of Columbia Municipal Regulations (“DCMR”) § 1607.2(d)(2) Failure/Refusal to Follow Instructions – deliberate or malicious refusal to comply with rules, regulations, written procedures, or proper supervisory instructions and § 1607.2 (f)(4) Attendance Related Offenses – an unauthorized absence of five (5) workdays or more. According to Agency, Employee was placed on paid administrative leave in 2021, pending the outcome of an investigation by the Department of Justice (“DOJ”). On October 28, 2021, Agency sent Employee a Notice of Administrative Leave which provided that while he was on paid administrative leave, Employee was required to check-in with the Major’s Office Monday through Friday between 8:30 and 9:00 a.m. Agency asserted that </w:t>
      </w:r>
      <w:r w:rsidRPr="0085002B">
        <w:rPr>
          <w:sz w:val="22"/>
          <w:szCs w:val="22"/>
        </w:rPr>
        <w:lastRenderedPageBreak/>
        <w:t>Employee failed to make the required calls from September 25, 2023, through October 6, 2023. Accordingly, Agency notified Employee that he had five days to explain why he failed to check in. Employee failed to respond within the deadline. As a result, Agency terminated Employee.</w:t>
      </w:r>
    </w:p>
    <w:p w14:paraId="5F4E8B04" w14:textId="77777777" w:rsidR="0085002B" w:rsidRPr="0085002B" w:rsidRDefault="0085002B" w:rsidP="0085002B">
      <w:pPr>
        <w:contextualSpacing/>
        <w:jc w:val="both"/>
        <w:rPr>
          <w:sz w:val="12"/>
          <w:szCs w:val="12"/>
        </w:rPr>
      </w:pPr>
    </w:p>
    <w:p w14:paraId="6337F390" w14:textId="1C420694" w:rsidR="0085002B" w:rsidRPr="00EF3F63" w:rsidRDefault="0085002B" w:rsidP="0085002B">
      <w:pPr>
        <w:ind w:left="1620"/>
        <w:contextualSpacing/>
        <w:jc w:val="both"/>
        <w:rPr>
          <w:sz w:val="22"/>
          <w:szCs w:val="22"/>
        </w:rPr>
      </w:pPr>
      <w:r w:rsidRPr="00EF3F63">
        <w:rPr>
          <w:sz w:val="22"/>
          <w:szCs w:val="22"/>
        </w:rPr>
        <w:t xml:space="preserve">On April 22, 2024, Employee filed a Petition for Appeal with the Office of Employee Appeals (“OEA”). He contended that he was unable to make the required calls to the Major’s Office because of the death of his aunt and an automobile accident in which he sustained injuries that required physical therapy. Additionally, Employee argued that the </w:t>
      </w:r>
      <w:r w:rsidRPr="00EF3F63">
        <w:rPr>
          <w:i/>
          <w:iCs/>
          <w:sz w:val="22"/>
          <w:szCs w:val="22"/>
        </w:rPr>
        <w:t>Dougla</w:t>
      </w:r>
      <w:r>
        <w:rPr>
          <w:i/>
          <w:iCs/>
          <w:sz w:val="22"/>
          <w:szCs w:val="22"/>
        </w:rPr>
        <w:t>s</w:t>
      </w:r>
      <w:r w:rsidRPr="00EF3F63">
        <w:rPr>
          <w:i/>
          <w:iCs/>
          <w:sz w:val="22"/>
          <w:szCs w:val="22"/>
        </w:rPr>
        <w:t xml:space="preserve"> </w:t>
      </w:r>
      <w:r w:rsidRPr="00EF3F63">
        <w:rPr>
          <w:sz w:val="22"/>
          <w:szCs w:val="22"/>
        </w:rPr>
        <w:t>factors were not properly considered and that Agency’s removal action was not supported by substantial evidence. As a result, he requested that he be reinstated to his position of record.</w:t>
      </w:r>
    </w:p>
    <w:p w14:paraId="7487D6B7" w14:textId="77777777" w:rsidR="0085002B" w:rsidRPr="0085002B" w:rsidRDefault="0085002B" w:rsidP="0085002B">
      <w:pPr>
        <w:contextualSpacing/>
        <w:jc w:val="both"/>
        <w:rPr>
          <w:sz w:val="12"/>
          <w:szCs w:val="12"/>
        </w:rPr>
      </w:pPr>
    </w:p>
    <w:p w14:paraId="1A4530E8" w14:textId="77777777" w:rsidR="0085002B" w:rsidRPr="00EF3F63" w:rsidRDefault="0085002B" w:rsidP="0085002B">
      <w:pPr>
        <w:ind w:left="1620"/>
        <w:contextualSpacing/>
        <w:jc w:val="both"/>
        <w:rPr>
          <w:sz w:val="22"/>
          <w:szCs w:val="22"/>
        </w:rPr>
      </w:pPr>
      <w:r w:rsidRPr="00EF3F63">
        <w:rPr>
          <w:sz w:val="22"/>
          <w:szCs w:val="22"/>
        </w:rPr>
        <w:t>Agency filed its Answer to Employee’s Petition for Appeal on May 21, 2024. It argued that Employee failed to follow the instructions that were provided in its Administrative Leave Notice, which required him to contact the Major’s Office between the hours of 8:30 a.m. and 9:00 a.m., Monday through Friday. According to Agency, Employe failed to make the required daily calls during the period of September 25, 2023, through October 6, 2023. Agency explained that Employee was instructed to provide an explanation for his failure to make the required daily calls on the dates specified. According to Agency, Employee submitted his explanation via email on November 1, 2023, several days after the October 26, 2023, deadline.  Agency asserted that it had cause to remove Employee and that pursuant to the Table of Illustrative Actions, removal was an appropriate penalty for Employee’s unauthorized absences of five days. Accordingly, it requested that Employee’s removal be upheld.</w:t>
      </w:r>
    </w:p>
    <w:p w14:paraId="6B71E2A9" w14:textId="77777777" w:rsidR="0085002B" w:rsidRPr="0085002B" w:rsidRDefault="0085002B" w:rsidP="0085002B">
      <w:pPr>
        <w:contextualSpacing/>
        <w:jc w:val="both"/>
        <w:rPr>
          <w:sz w:val="12"/>
          <w:szCs w:val="12"/>
        </w:rPr>
      </w:pPr>
    </w:p>
    <w:p w14:paraId="0B1157F2" w14:textId="77777777" w:rsidR="0085002B" w:rsidRPr="00EF3F63" w:rsidRDefault="0085002B" w:rsidP="0085002B">
      <w:pPr>
        <w:ind w:left="1620"/>
        <w:contextualSpacing/>
        <w:jc w:val="both"/>
        <w:rPr>
          <w:sz w:val="22"/>
          <w:szCs w:val="22"/>
        </w:rPr>
      </w:pPr>
      <w:r w:rsidRPr="00EF3F63">
        <w:rPr>
          <w:sz w:val="22"/>
          <w:szCs w:val="22"/>
        </w:rPr>
        <w:t xml:space="preserve">On June 24, 2025, OEA Administrative Judge (“AJ”) Harris issued an Order notifying the parties that the matter had been reassigned to her. On July 8, 2025, she issued a Post-Status Conference Order directing the parties to submit briefs addressing (1) whether Agency had cause for adverse action in this matter; (2) whether Agency, in terminating Employee from service, followed all applicable District of Columbia statutes, regulations, and laws; and (3) whether the penalty of termination was appropriate under the circumstances.  </w:t>
      </w:r>
    </w:p>
    <w:p w14:paraId="33679DC8" w14:textId="77777777" w:rsidR="0085002B" w:rsidRPr="0085002B" w:rsidRDefault="0085002B" w:rsidP="0085002B">
      <w:pPr>
        <w:contextualSpacing/>
        <w:jc w:val="both"/>
        <w:rPr>
          <w:sz w:val="12"/>
          <w:szCs w:val="12"/>
        </w:rPr>
      </w:pPr>
    </w:p>
    <w:p w14:paraId="291CC458" w14:textId="77777777" w:rsidR="0085002B" w:rsidRPr="00EF3F63" w:rsidRDefault="0085002B" w:rsidP="0085002B">
      <w:pPr>
        <w:ind w:left="1620"/>
        <w:contextualSpacing/>
        <w:jc w:val="both"/>
        <w:rPr>
          <w:sz w:val="22"/>
          <w:szCs w:val="22"/>
        </w:rPr>
      </w:pPr>
      <w:r w:rsidRPr="00EF3F63">
        <w:rPr>
          <w:sz w:val="22"/>
          <w:szCs w:val="22"/>
        </w:rPr>
        <w:t>In its brief, Agency asserted that it was permitted to place Employee on indefinite paid administrative leave pending the outcome of the DOJ investigation involving Employee. It opined that it had discretion to require Employee to call the Major’s Office daily to record his attendance while on paid administrative leave. Additionally, Agency argued that it had cause to discipline Employee pursuant to 6-B DCMR §§ 1602.2, 1607.2(d), and 1607.2(f)(4). Specifically, Agency maintained that Employee failed to contact the Major’s Office from September 25</w:t>
      </w:r>
      <w:r w:rsidRPr="00EF3F63">
        <w:rPr>
          <w:sz w:val="22"/>
          <w:szCs w:val="22"/>
          <w:vertAlign w:val="superscript"/>
        </w:rPr>
        <w:t>th</w:t>
      </w:r>
      <w:r w:rsidRPr="00EF3F63">
        <w:rPr>
          <w:sz w:val="22"/>
          <w:szCs w:val="22"/>
        </w:rPr>
        <w:t xml:space="preserve"> through October 19, 2023. Agency acknowledged Employee’s explanation that the death of his aunt and injuries sustained from an accident prevented him from making the required calls. However, it noted that Employee did not identify the date of his aunt’s death and that his medical documentation did not establish that he was incapacitated and unable to make a telephone call. Moreover, Agency contended that Employee was absent for nineteen days, and even if eight of those days were medically excused, it still had cause to discipline him because he was still absent for more than five days, as required under DCMR § 1607.2(f)(4). Finally, Agency maintained that removal was appropriate because it properly considered the </w:t>
      </w:r>
      <w:r w:rsidRPr="00EF3F63">
        <w:rPr>
          <w:i/>
          <w:iCs/>
          <w:sz w:val="22"/>
          <w:szCs w:val="22"/>
        </w:rPr>
        <w:t>Douglas</w:t>
      </w:r>
      <w:r w:rsidRPr="00EF3F63">
        <w:rPr>
          <w:sz w:val="22"/>
          <w:szCs w:val="22"/>
        </w:rPr>
        <w:t xml:space="preserve"> factors, and the penalty fell within the range of the Table of Illustrative Actions.</w:t>
      </w:r>
    </w:p>
    <w:p w14:paraId="4FA530C5" w14:textId="77777777" w:rsidR="0085002B" w:rsidRPr="0085002B" w:rsidRDefault="0085002B" w:rsidP="0085002B">
      <w:pPr>
        <w:contextualSpacing/>
        <w:jc w:val="both"/>
        <w:rPr>
          <w:sz w:val="12"/>
          <w:szCs w:val="12"/>
        </w:rPr>
      </w:pPr>
    </w:p>
    <w:p w14:paraId="0F4CD661" w14:textId="77777777" w:rsidR="0085002B" w:rsidRPr="00EF3F63" w:rsidRDefault="0085002B" w:rsidP="0085002B">
      <w:pPr>
        <w:ind w:left="1620"/>
        <w:contextualSpacing/>
        <w:jc w:val="both"/>
        <w:rPr>
          <w:sz w:val="22"/>
          <w:szCs w:val="22"/>
        </w:rPr>
      </w:pPr>
      <w:r w:rsidRPr="00EF3F63">
        <w:rPr>
          <w:sz w:val="22"/>
          <w:szCs w:val="22"/>
        </w:rPr>
        <w:t xml:space="preserve">In response, Employee argued that Agency lacked cause for its removal action. He explained that his failure to contact the Major’s Office for daily roll call was </w:t>
      </w:r>
      <w:r w:rsidRPr="00EF3F63">
        <w:rPr>
          <w:sz w:val="22"/>
          <w:szCs w:val="22"/>
        </w:rPr>
        <w:lastRenderedPageBreak/>
        <w:t xml:space="preserve">unintentional and excused because of the death of his aunt and his automobile accident. Employee asserted that his absences were not deliberate and should have been excused. He further argued that Agency’s analysis of the </w:t>
      </w:r>
      <w:r w:rsidRPr="00EF3F63">
        <w:rPr>
          <w:i/>
          <w:iCs/>
          <w:sz w:val="22"/>
          <w:szCs w:val="22"/>
        </w:rPr>
        <w:t>Douglas</w:t>
      </w:r>
      <w:r w:rsidRPr="00EF3F63">
        <w:rPr>
          <w:sz w:val="22"/>
          <w:szCs w:val="22"/>
        </w:rPr>
        <w:t xml:space="preserve"> factors was flawed. Consequently, Employee asserted that Agency should have considered a lesser penalty.</w:t>
      </w:r>
    </w:p>
    <w:p w14:paraId="11C8EE6E" w14:textId="77777777" w:rsidR="0085002B" w:rsidRPr="0085002B" w:rsidRDefault="0085002B" w:rsidP="0085002B">
      <w:pPr>
        <w:contextualSpacing/>
        <w:jc w:val="both"/>
        <w:rPr>
          <w:sz w:val="12"/>
          <w:szCs w:val="12"/>
        </w:rPr>
      </w:pPr>
    </w:p>
    <w:p w14:paraId="646FA55C" w14:textId="77777777" w:rsidR="0085002B" w:rsidRPr="00EF3F63" w:rsidRDefault="0085002B" w:rsidP="0085002B">
      <w:pPr>
        <w:ind w:left="1620"/>
        <w:contextualSpacing/>
        <w:jc w:val="both"/>
        <w:rPr>
          <w:sz w:val="22"/>
          <w:szCs w:val="22"/>
        </w:rPr>
      </w:pPr>
      <w:r w:rsidRPr="00EF3F63">
        <w:rPr>
          <w:sz w:val="22"/>
          <w:szCs w:val="22"/>
        </w:rPr>
        <w:t>The AJ issued her Initial Decision on May 29, 2026. She found that Agency failed to meet its burden of proof for the charge of 6-B DCMR § 1607.2(d) – Failure/Refusal to Follow Instructions because the evidence did not establish that Employee deliberately or maliciously failed to make the required calls. The AJ noted that Employee had complied with the daily call-in requirement for approximately two years while on administrative leave and determined that his failure to call during the aforementioned time frame was the result of personal circumstances rather than deliberate or malicious misconduct</w:t>
      </w:r>
      <w:r>
        <w:rPr>
          <w:sz w:val="22"/>
          <w:szCs w:val="22"/>
        </w:rPr>
        <w:t>.</w:t>
      </w:r>
    </w:p>
    <w:p w14:paraId="2A27AB7E" w14:textId="77777777" w:rsidR="0085002B" w:rsidRPr="0085002B" w:rsidRDefault="0085002B" w:rsidP="0085002B">
      <w:pPr>
        <w:contextualSpacing/>
        <w:jc w:val="both"/>
        <w:rPr>
          <w:sz w:val="12"/>
          <w:szCs w:val="12"/>
        </w:rPr>
      </w:pPr>
    </w:p>
    <w:p w14:paraId="4EEAB7EC" w14:textId="77777777" w:rsidR="0085002B" w:rsidRPr="00EF3F63" w:rsidRDefault="0085002B" w:rsidP="0085002B">
      <w:pPr>
        <w:ind w:left="1620"/>
        <w:contextualSpacing/>
        <w:jc w:val="both"/>
        <w:rPr>
          <w:sz w:val="22"/>
          <w:szCs w:val="22"/>
        </w:rPr>
      </w:pPr>
      <w:r w:rsidRPr="00EF3F63">
        <w:rPr>
          <w:sz w:val="22"/>
          <w:szCs w:val="22"/>
        </w:rPr>
        <w:t>Next, the AJ addressed the charge pursuant to DCMR § 1607.2 (f)(4) – Attendance Related Offenses – an unauthorized absence of five (5) workdays or more. She found that Agency failed to consider pictures of the accident provided by Employee, as well as the medical documentation which included doctor’s visits and physical therapy consultations. The AJ noted that Agency did not consider Employee’s medical documentation without obtaining an alternative medical review or examination. As a result, the AJ determined that Agency failed to properly consider whether Employee’s time should have been retroactively applied to sick leave instead of unauthorized absences.</w:t>
      </w:r>
    </w:p>
    <w:p w14:paraId="1D9EA696" w14:textId="77777777" w:rsidR="0085002B" w:rsidRPr="0085002B" w:rsidRDefault="0085002B" w:rsidP="0085002B">
      <w:pPr>
        <w:contextualSpacing/>
        <w:jc w:val="both"/>
        <w:rPr>
          <w:sz w:val="12"/>
          <w:szCs w:val="12"/>
        </w:rPr>
      </w:pPr>
    </w:p>
    <w:p w14:paraId="6A6997C4" w14:textId="77777777" w:rsidR="0085002B" w:rsidRPr="00EF3F63" w:rsidRDefault="0085002B" w:rsidP="0085002B">
      <w:pPr>
        <w:ind w:left="1620"/>
        <w:contextualSpacing/>
        <w:jc w:val="both"/>
        <w:rPr>
          <w:sz w:val="22"/>
          <w:szCs w:val="22"/>
        </w:rPr>
      </w:pPr>
      <w:r w:rsidRPr="00EF3F63">
        <w:rPr>
          <w:sz w:val="22"/>
          <w:szCs w:val="22"/>
        </w:rPr>
        <w:t xml:space="preserve">Finally, as it related to the </w:t>
      </w:r>
      <w:r w:rsidRPr="00EF3F63">
        <w:rPr>
          <w:i/>
          <w:iCs/>
          <w:sz w:val="22"/>
          <w:szCs w:val="22"/>
        </w:rPr>
        <w:t>Douglas</w:t>
      </w:r>
      <w:r w:rsidRPr="00EF3F63">
        <w:rPr>
          <w:sz w:val="22"/>
          <w:szCs w:val="22"/>
        </w:rPr>
        <w:t xml:space="preserve"> factors, the AJ found that Agency failed to consider Employee’s mitigating circumstances. She explained that Agency should have considered it a mitigating factor that Employee was on administrative leave for approximately two years during an ongoing investigation and called in every day. The AJ further noted that Agency did not reach out to Employee during the time it considered him absent. Thus, she found that Agency’s penalty of termination was excessive because it was within Agency’s discretion to assign September 25, 2023, through October 6, 2023, as leave without pay instead of absences. Consequently, the AJ ordered that Agency’s removal action be reversed and that Agency reimburse Employee all back pay and benefits lost as a result of his termination.</w:t>
      </w:r>
    </w:p>
    <w:p w14:paraId="6FF01AC8" w14:textId="77777777" w:rsidR="0085002B" w:rsidRPr="0085002B" w:rsidRDefault="0085002B" w:rsidP="0085002B">
      <w:pPr>
        <w:contextualSpacing/>
        <w:jc w:val="both"/>
        <w:rPr>
          <w:sz w:val="12"/>
          <w:szCs w:val="12"/>
        </w:rPr>
      </w:pPr>
    </w:p>
    <w:p w14:paraId="69407007" w14:textId="77777777" w:rsidR="0085002B" w:rsidRPr="00EF3F63" w:rsidRDefault="0085002B" w:rsidP="0085002B">
      <w:pPr>
        <w:ind w:left="1620"/>
        <w:contextualSpacing/>
        <w:jc w:val="both"/>
        <w:rPr>
          <w:sz w:val="22"/>
          <w:szCs w:val="22"/>
        </w:rPr>
      </w:pPr>
      <w:r w:rsidRPr="00EF3F63">
        <w:rPr>
          <w:sz w:val="22"/>
          <w:szCs w:val="22"/>
        </w:rPr>
        <w:t>Agency disagreed with the Initial Decision and filed a Petition for Review with the OEA Board on July 6, 2026. It asserts that the AJ erred by failing to find that it had cause to discipline Employee for his absences from September 25 through October 6, 2023, and October 19, 2023. Agency argues that Employee did not provide clear and complete medical evidence establishing that he was medically incapacitated to make one daily call to the Major during the period he was changed with absences from work. It also notes that the medical documents provided by Employee indicate his work duties in cyber security IT and not as a Department of Corrections employee. Additionally, Agency reiterates that Employee did not provide any documentation indicating when his aunt died. According to Agency, she could have died weeks or months before or after the absences in question. Moreover, it provides that Employee did not provide any of his medical documentation prior to his appeal at OEA. Finally, Agency argues that the AJ improperly determined that it could have considered the absences as leave without pay. According to Agency, the AJ improperly reweighed its consideration of mitigating circumstances. Therefore, it requests that its Petition for Review be granted and the Initial Decision be reversed.</w:t>
      </w:r>
    </w:p>
    <w:p w14:paraId="6816A2AB" w14:textId="77777777" w:rsidR="0085002B" w:rsidRPr="008036D5" w:rsidRDefault="0085002B" w:rsidP="0085002B">
      <w:pPr>
        <w:rPr>
          <w:sz w:val="12"/>
          <w:szCs w:val="12"/>
        </w:rPr>
      </w:pPr>
    </w:p>
    <w:p w14:paraId="72C76C55" w14:textId="1B1E84A3" w:rsidR="008036D5" w:rsidRPr="008036D5" w:rsidRDefault="0085002B" w:rsidP="008036D5">
      <w:pPr>
        <w:pStyle w:val="ListParagraph"/>
        <w:numPr>
          <w:ilvl w:val="2"/>
          <w:numId w:val="1"/>
        </w:numPr>
        <w:jc w:val="both"/>
        <w:rPr>
          <w:sz w:val="22"/>
          <w:szCs w:val="22"/>
          <w14:ligatures w14:val="none"/>
        </w:rPr>
      </w:pPr>
      <w:r w:rsidRPr="008036D5">
        <w:rPr>
          <w:b/>
          <w:bCs/>
          <w:sz w:val="22"/>
          <w:szCs w:val="22"/>
        </w:rPr>
        <w:t>Employee v.</w:t>
      </w:r>
      <w:r w:rsidR="00366FC3" w:rsidRPr="008036D5">
        <w:rPr>
          <w:b/>
          <w:bCs/>
          <w:sz w:val="22"/>
          <w:szCs w:val="22"/>
        </w:rPr>
        <w:t xml:space="preserve"> District of Columbia Public Schools, OEA Matter No. 1601-0412-10R23R25 </w:t>
      </w:r>
      <w:r w:rsidR="00366FC3" w:rsidRPr="008036D5">
        <w:rPr>
          <w:rFonts w:eastAsia="SimSun"/>
          <w:b/>
          <w:sz w:val="22"/>
          <w:szCs w:val="22"/>
          <w:lang w:eastAsia="zh-CN"/>
        </w:rPr>
        <w:t xml:space="preserve">– </w:t>
      </w:r>
      <w:r w:rsidR="008036D5" w:rsidRPr="008036D5">
        <w:rPr>
          <w:sz w:val="22"/>
          <w:szCs w:val="22"/>
          <w14:ligatures w14:val="none"/>
        </w:rPr>
        <w:t xml:space="preserve">This matter was previously before the Office of Employee Appeals’ </w:t>
      </w:r>
      <w:r w:rsidR="008036D5" w:rsidRPr="008036D5">
        <w:rPr>
          <w:sz w:val="22"/>
          <w:szCs w:val="22"/>
          <w14:ligatures w14:val="none"/>
        </w:rPr>
        <w:lastRenderedPageBreak/>
        <w:t>(“OEA”) Board. Employee was a Teacher with the District of Columbia Public Schools (“Agency”). On August 23, 2010, Agency issued a final notice of separation informing Employee that she would be removed from her position because she was not a permanent status employee; she failed to secure a position within sixty days of being excessed; and she did not receive a final rating of at least “Effective” under IMPACT, Agency’s performance assessment system. Consequently, she was terminated from employment effective August 23, 2010.</w:t>
      </w:r>
    </w:p>
    <w:p w14:paraId="6794000C" w14:textId="77777777" w:rsidR="008036D5" w:rsidRPr="008036D5" w:rsidRDefault="008036D5" w:rsidP="008036D5">
      <w:pPr>
        <w:jc w:val="both"/>
        <w:rPr>
          <w:sz w:val="12"/>
          <w:szCs w:val="12"/>
        </w:rPr>
      </w:pPr>
    </w:p>
    <w:p w14:paraId="33D2C046" w14:textId="77777777" w:rsidR="008036D5" w:rsidRPr="00EF3F63" w:rsidRDefault="008036D5" w:rsidP="008036D5">
      <w:pPr>
        <w:ind w:left="1620"/>
        <w:jc w:val="both"/>
        <w:rPr>
          <w:sz w:val="22"/>
          <w:szCs w:val="22"/>
          <w14:ligatures w14:val="none"/>
        </w:rPr>
      </w:pPr>
      <w:r w:rsidRPr="00EF3F63">
        <w:rPr>
          <w:sz w:val="22"/>
          <w:szCs w:val="22"/>
          <w14:ligatures w14:val="none"/>
        </w:rPr>
        <w:t>The Administrative Judge (“AJ”) issued an Initial Decision on January 29, 2013. The AJ found that Employee was an Education Service employee, and “…educational service employees who are serving in a probationary period are precluded from appealing a removal action to [OEA] until their probationary period is finished.” He found that Employee started working for Agency on January 3, 2010, and the effective date of her removal was August 23, 2010. As a result, the AJ held that pursuant to § 814.3 of the District Personnel Manual (“DPM”), OEA lacked jurisdiction over the matter. Accordingly, Employee’s appeal was dismissed.</w:t>
      </w:r>
    </w:p>
    <w:p w14:paraId="37271732" w14:textId="77777777" w:rsidR="008036D5" w:rsidRPr="008036D5" w:rsidRDefault="008036D5" w:rsidP="008036D5">
      <w:pPr>
        <w:jc w:val="both"/>
        <w:rPr>
          <w:sz w:val="12"/>
          <w:szCs w:val="12"/>
        </w:rPr>
      </w:pPr>
    </w:p>
    <w:p w14:paraId="71B1A3DD" w14:textId="77777777" w:rsidR="008036D5" w:rsidRPr="00EF3F63" w:rsidRDefault="008036D5" w:rsidP="008036D5">
      <w:pPr>
        <w:ind w:left="1620"/>
        <w:jc w:val="both"/>
        <w:rPr>
          <w:sz w:val="22"/>
          <w:szCs w:val="22"/>
          <w14:ligatures w14:val="none"/>
        </w:rPr>
      </w:pPr>
      <w:r w:rsidRPr="00EF3F63">
        <w:rPr>
          <w:sz w:val="22"/>
          <w:szCs w:val="22"/>
          <w14:ligatures w14:val="none"/>
        </w:rPr>
        <w:t>On February 27, 2013, Employee filed a Petition for Review with the OEA Board. She argued that the AJ did not address all issues of the facts and law raised in her appeal. Employee opined that the relevant section of the DPM, used by the AJ, which addressed appeals by probationary employees, did not apply to Educational Service positions. It was Employee’s position that any employee can appeal a final agency decision to OEA which resulted in removal. Therefore, she requested that the Board reverse the Initial Decision and hold that OEA has jurisdiction over her appeal.</w:t>
      </w:r>
    </w:p>
    <w:p w14:paraId="46E85929" w14:textId="77777777" w:rsidR="008036D5" w:rsidRPr="008036D5" w:rsidRDefault="008036D5" w:rsidP="008036D5">
      <w:pPr>
        <w:jc w:val="both"/>
        <w:rPr>
          <w:sz w:val="12"/>
          <w:szCs w:val="12"/>
        </w:rPr>
      </w:pPr>
      <w:r w:rsidRPr="00EF3F63">
        <w:rPr>
          <w:sz w:val="22"/>
          <w:szCs w:val="22"/>
          <w14:ligatures w14:val="none"/>
        </w:rPr>
        <w:tab/>
      </w:r>
    </w:p>
    <w:p w14:paraId="5AB147BE" w14:textId="77777777" w:rsidR="008036D5" w:rsidRPr="00EF3F63" w:rsidRDefault="008036D5" w:rsidP="008036D5">
      <w:pPr>
        <w:ind w:left="1620"/>
        <w:jc w:val="both"/>
        <w:rPr>
          <w:sz w:val="22"/>
          <w:szCs w:val="22"/>
          <w14:ligatures w14:val="none"/>
        </w:rPr>
      </w:pPr>
      <w:r w:rsidRPr="00EF3F63">
        <w:rPr>
          <w:sz w:val="22"/>
          <w:szCs w:val="22"/>
          <w14:ligatures w14:val="none"/>
        </w:rPr>
        <w:t>In response to the Petition for Review, Agency provided that Employee was not terminated based on any of the provisions provided in D.C. Code § 1-606.03, which outlined OEA’s jurisdiction. It argued that she was excessed in accordance with the procedures of the Collective Bargaining Agreement (“CBA”) that existed between it and the Washington Teachers’ Union (“WTU”). Lastly, Agency reasoned that because Employee was in a probationary status, she had no statutory right to appeal to OEA.</w:t>
      </w:r>
    </w:p>
    <w:p w14:paraId="5E1A39A9" w14:textId="77777777" w:rsidR="008036D5" w:rsidRPr="008036D5" w:rsidRDefault="008036D5" w:rsidP="008036D5">
      <w:pPr>
        <w:jc w:val="both"/>
        <w:rPr>
          <w:sz w:val="12"/>
          <w:szCs w:val="12"/>
        </w:rPr>
      </w:pPr>
    </w:p>
    <w:p w14:paraId="2F22E8FA" w14:textId="77777777" w:rsidR="008036D5" w:rsidRPr="00EF3F63" w:rsidRDefault="008036D5" w:rsidP="008036D5">
      <w:pPr>
        <w:ind w:left="1620"/>
        <w:jc w:val="both"/>
        <w:rPr>
          <w:sz w:val="22"/>
          <w:szCs w:val="22"/>
          <w14:ligatures w14:val="none"/>
        </w:rPr>
      </w:pPr>
      <w:r w:rsidRPr="00EF3F63">
        <w:rPr>
          <w:sz w:val="22"/>
          <w:szCs w:val="22"/>
          <w14:ligatures w14:val="none"/>
        </w:rPr>
        <w:t xml:space="preserve">This Board issued its Opinion and Order on Petition for Review on June 10, 2014. It found that the AJ incorrectly applied DPM § 814.3 to uphold Employee’s removal. The Board explained that DPM § 814.3 applies to Career Service employees and not Educational employees. Thus, it determined that the AJ improperly cited to this section of the regulation in the Initial Decision. However, the Board opined that the reference was </w:t>
      </w:r>
      <w:r w:rsidRPr="00EF3F63">
        <w:rPr>
          <w:i/>
          <w:iCs/>
          <w:sz w:val="22"/>
          <w:szCs w:val="22"/>
          <w14:ligatures w14:val="none"/>
        </w:rPr>
        <w:t>de minimis</w:t>
      </w:r>
      <w:r w:rsidRPr="00EF3F63">
        <w:rPr>
          <w:sz w:val="22"/>
          <w:szCs w:val="22"/>
          <w14:ligatures w14:val="none"/>
        </w:rPr>
        <w:t xml:space="preserve"> because the AJ properly relied on 5 DCMR § 1307 in reaching his decision that Employee was properly removed. The Board explained that in accordance with 5 DCMR § 1307.3, Employee was required to serve a two-year probationary period. Because Employee was hired by Agency on January 3, 2010, the Board determined that the probationary period would not have ended until January 3, 2012. Specifically, it held that District of Columbia government employees serving a probationary period did not have a statutory right to be removed for cause and could not utilize the procedures under the Comprehensive Merit Personnel Act, which includes appealing those actions to this Office. Consequently, the Board denied Employee’s Petition for Review for lack of jurisdiction.</w:t>
      </w:r>
    </w:p>
    <w:p w14:paraId="69509DD4" w14:textId="77777777" w:rsidR="008036D5" w:rsidRPr="008036D5" w:rsidRDefault="008036D5" w:rsidP="008036D5">
      <w:pPr>
        <w:jc w:val="both"/>
        <w:rPr>
          <w:sz w:val="12"/>
          <w:szCs w:val="12"/>
        </w:rPr>
      </w:pPr>
    </w:p>
    <w:p w14:paraId="54C3B424" w14:textId="77777777" w:rsidR="008036D5" w:rsidRPr="00EF3F63" w:rsidRDefault="008036D5" w:rsidP="008036D5">
      <w:pPr>
        <w:ind w:left="1620"/>
        <w:jc w:val="both"/>
        <w:rPr>
          <w:sz w:val="22"/>
          <w:szCs w:val="22"/>
          <w14:ligatures w14:val="none"/>
        </w:rPr>
      </w:pPr>
      <w:r w:rsidRPr="00EF3F63">
        <w:rPr>
          <w:sz w:val="22"/>
          <w:szCs w:val="22"/>
          <w14:ligatures w14:val="none"/>
        </w:rPr>
        <w:t xml:space="preserve">Employee appealed the matter to the Superior Court of the District of Columbia. The Court found that there was substantial evidence in the record to support that the AJ properly relied on 5 DCMR § 1307.3 to conclude that Employee was required to serve a two-year probationary period. It held that Employee’s probationary period ended on January 3, 2012, and Employee was terminated on June 21, 2011, before her probationary </w:t>
      </w:r>
      <w:r w:rsidRPr="00EF3F63">
        <w:rPr>
          <w:sz w:val="22"/>
          <w:szCs w:val="22"/>
          <w14:ligatures w14:val="none"/>
        </w:rPr>
        <w:lastRenderedPageBreak/>
        <w:t>period ended. Accordingly, the Court upheld the AJ’s decision.</w:t>
      </w:r>
    </w:p>
    <w:p w14:paraId="72E2B905" w14:textId="77777777" w:rsidR="008036D5" w:rsidRPr="008036D5" w:rsidRDefault="008036D5" w:rsidP="008036D5">
      <w:pPr>
        <w:jc w:val="both"/>
        <w:rPr>
          <w:sz w:val="12"/>
          <w:szCs w:val="12"/>
        </w:rPr>
      </w:pPr>
      <w:r w:rsidRPr="00EF3F63">
        <w:rPr>
          <w:sz w:val="22"/>
          <w:szCs w:val="22"/>
          <w14:ligatures w14:val="none"/>
        </w:rPr>
        <w:tab/>
      </w:r>
    </w:p>
    <w:p w14:paraId="7EE0DCE3" w14:textId="77777777" w:rsidR="008036D5" w:rsidRPr="00EF3F63" w:rsidRDefault="008036D5" w:rsidP="008036D5">
      <w:pPr>
        <w:ind w:left="1620"/>
        <w:jc w:val="both"/>
        <w:rPr>
          <w:sz w:val="22"/>
          <w:szCs w:val="22"/>
          <w14:ligatures w14:val="none"/>
        </w:rPr>
      </w:pPr>
      <w:r w:rsidRPr="00EF3F63">
        <w:rPr>
          <w:sz w:val="22"/>
          <w:szCs w:val="22"/>
          <w14:ligatures w14:val="none"/>
        </w:rPr>
        <w:t>The matter was then appealed to the District of Columbia Court of Appeals. On appeal before the D.C. Court of Appeals, Agency conceded that Employee had rights under the CBA, which according to Agency, made Employee neither an at-will employee nor a permanent employee but rather “something in between.” Accordingly, it requested that this matter be remanded to OEA. The Court of Appeals remanded the matter for OEA to determine whether it had jurisdiction over Employee’s appeal because Agency argued that Employee was indeed serving within her probationary period. Finally, the Court declined to consider Agency’s belated argument that Employee’s prior use of the grievance process stripped OEA of jurisdiction to consider Employee’s appeal. As a result, it remanded the matter to OEA for further consideration.</w:t>
      </w:r>
    </w:p>
    <w:p w14:paraId="1386FC36" w14:textId="77777777" w:rsidR="008036D5" w:rsidRPr="008036D5" w:rsidRDefault="008036D5" w:rsidP="008036D5">
      <w:pPr>
        <w:jc w:val="both"/>
        <w:rPr>
          <w:sz w:val="12"/>
          <w:szCs w:val="12"/>
        </w:rPr>
      </w:pPr>
    </w:p>
    <w:p w14:paraId="3C864DF4" w14:textId="77777777" w:rsidR="008036D5" w:rsidRPr="00EF3F63" w:rsidRDefault="008036D5" w:rsidP="008036D5">
      <w:pPr>
        <w:ind w:left="1620"/>
        <w:jc w:val="both"/>
        <w:rPr>
          <w:sz w:val="22"/>
          <w:szCs w:val="22"/>
          <w14:ligatures w14:val="none"/>
        </w:rPr>
      </w:pPr>
      <w:r w:rsidRPr="00EF3F63">
        <w:rPr>
          <w:sz w:val="22"/>
          <w:szCs w:val="22"/>
          <w14:ligatures w14:val="none"/>
        </w:rPr>
        <w:t xml:space="preserve">After conducting a status conference, the AJ issued a Post-Conference Order on May 15, 2023. He requested that the parties submit briefs addressing whether the grievance, and subsequent settlement, filed by the WTU precluded Employee from prosecuting her petition for appeal before OEA. Additionally, he asked the parties to brief whether Employee’s attempt (intentional or unintentional) at “splitting” her cause of action prevented OEA from exercising jurisdiction over the matter. </w:t>
      </w:r>
    </w:p>
    <w:p w14:paraId="0769552C" w14:textId="77777777" w:rsidR="008036D5" w:rsidRPr="008036D5" w:rsidRDefault="008036D5" w:rsidP="008036D5">
      <w:pPr>
        <w:jc w:val="both"/>
        <w:rPr>
          <w:sz w:val="12"/>
          <w:szCs w:val="12"/>
        </w:rPr>
      </w:pPr>
    </w:p>
    <w:p w14:paraId="6EF5300E" w14:textId="77777777" w:rsidR="008036D5" w:rsidRPr="00EF3F63" w:rsidRDefault="008036D5" w:rsidP="008036D5">
      <w:pPr>
        <w:ind w:left="1620"/>
        <w:jc w:val="both"/>
        <w:rPr>
          <w:sz w:val="22"/>
          <w:szCs w:val="22"/>
          <w14:ligatures w14:val="none"/>
        </w:rPr>
      </w:pPr>
      <w:r w:rsidRPr="00EF3F63">
        <w:rPr>
          <w:sz w:val="22"/>
          <w:szCs w:val="22"/>
          <w14:ligatures w14:val="none"/>
        </w:rPr>
        <w:t xml:space="preserve">Agency filed its brief and argued that the grievance filed by the WTU was a class action litigation that included Employee. It explained that Employee filed her appeal with OEA after the WTU grievance was filed. According to Agency, D.C. Code § 1-616.52(f) provides that an employee shall be deemed to have exercised their option pursuant to subsection (e) to raise a matter either under the applicable statutory procedures or under the negotiated grievance procedure, whichever event occurs first. Thus, it posited that since Employee’s WTU grievance was filed before the OEA appeal was filed, the resolution from the grievance would take precedence. Additionally, Agency noted that Employee’s attempt to remove herself from the grievance matter was in 2018, eight years after the initial filing of the grievance in 2010. While Agency noted that Employee’s assertion was that she was not made aware of the WTU grievance filed on her behalf, it argued that the grievance process was a legal proceeding in which the resolution should be acknowledged and upheld. Thus, it opined that Employee should be barred from seeking additional redress before OEA.  </w:t>
      </w:r>
    </w:p>
    <w:p w14:paraId="4F417655" w14:textId="77777777" w:rsidR="008036D5" w:rsidRPr="008036D5" w:rsidRDefault="008036D5" w:rsidP="008036D5">
      <w:pPr>
        <w:jc w:val="both"/>
        <w:rPr>
          <w:sz w:val="12"/>
          <w:szCs w:val="12"/>
        </w:rPr>
      </w:pPr>
      <w:r w:rsidRPr="00EF3F63">
        <w:rPr>
          <w:sz w:val="22"/>
          <w:szCs w:val="22"/>
          <w14:ligatures w14:val="none"/>
        </w:rPr>
        <w:tab/>
      </w:r>
    </w:p>
    <w:p w14:paraId="1D656E6D" w14:textId="77777777" w:rsidR="008036D5" w:rsidRPr="00EF3F63" w:rsidRDefault="008036D5" w:rsidP="008036D5">
      <w:pPr>
        <w:ind w:left="1620"/>
        <w:jc w:val="both"/>
        <w:rPr>
          <w:sz w:val="22"/>
          <w:szCs w:val="22"/>
          <w14:ligatures w14:val="none"/>
        </w:rPr>
      </w:pPr>
      <w:r w:rsidRPr="00EF3F63">
        <w:rPr>
          <w:sz w:val="22"/>
          <w:szCs w:val="22"/>
          <w14:ligatures w14:val="none"/>
        </w:rPr>
        <w:t xml:space="preserve">In her brief, Employee asserted that she did not consent to joining the WTU’s grievance process. Consequently, she argued that she was not bound by the terms of the WTU settlement agreement. Moreover, Employee claimed that she did not accept a settlement, nor did she receive funds from the settlement between her union and Agency. Additionally, she contended that OEA did not lack jurisdiction to adjudicate the instant matter and that pursuant to D.C. Code § 1-612.52(e)(f), she was not prohibited from filing an appeal before OEA.  </w:t>
      </w:r>
    </w:p>
    <w:p w14:paraId="574A1361" w14:textId="77777777" w:rsidR="008036D5" w:rsidRPr="008036D5" w:rsidRDefault="008036D5" w:rsidP="008036D5">
      <w:pPr>
        <w:jc w:val="both"/>
        <w:rPr>
          <w:sz w:val="12"/>
          <w:szCs w:val="12"/>
        </w:rPr>
      </w:pPr>
      <w:r w:rsidRPr="00EF3F63">
        <w:rPr>
          <w:sz w:val="22"/>
          <w:szCs w:val="22"/>
          <w14:ligatures w14:val="none"/>
        </w:rPr>
        <w:tab/>
      </w:r>
    </w:p>
    <w:p w14:paraId="4FD64A87" w14:textId="77777777" w:rsidR="008036D5" w:rsidRPr="00EF3F63" w:rsidRDefault="008036D5" w:rsidP="008036D5">
      <w:pPr>
        <w:ind w:left="1620"/>
        <w:jc w:val="both"/>
        <w:rPr>
          <w:sz w:val="22"/>
          <w:szCs w:val="22"/>
          <w14:ligatures w14:val="none"/>
        </w:rPr>
      </w:pPr>
      <w:r w:rsidRPr="00EF3F63">
        <w:rPr>
          <w:sz w:val="22"/>
          <w:szCs w:val="22"/>
          <w14:ligatures w14:val="none"/>
        </w:rPr>
        <w:t>Agency filed a sur-reply to Employee’s Post-Status Conference brief. It made many of the same assertions in its previous brief and maintained that since Employee was a member of the union, she gave tacit consent for WTU to act on her behalf in litigious matters. Agency contended that after the grievance was filed, Employee’s appeal was impermissible because her union filed a grievance on her behalf first.</w:t>
      </w:r>
    </w:p>
    <w:p w14:paraId="6AF5F229" w14:textId="77777777" w:rsidR="008036D5" w:rsidRDefault="008036D5" w:rsidP="008036D5">
      <w:pPr>
        <w:jc w:val="both"/>
        <w:rPr>
          <w:sz w:val="22"/>
          <w:szCs w:val="22"/>
        </w:rPr>
      </w:pPr>
      <w:r w:rsidRPr="00EF3F63">
        <w:rPr>
          <w:sz w:val="22"/>
          <w:szCs w:val="22"/>
          <w14:ligatures w14:val="none"/>
        </w:rPr>
        <w:tab/>
      </w:r>
    </w:p>
    <w:p w14:paraId="7857F5EB" w14:textId="77777777" w:rsidR="008036D5" w:rsidRPr="00EF3F63" w:rsidRDefault="008036D5" w:rsidP="008036D5">
      <w:pPr>
        <w:ind w:left="1620"/>
        <w:jc w:val="both"/>
        <w:rPr>
          <w:sz w:val="22"/>
          <w:szCs w:val="22"/>
          <w14:ligatures w14:val="none"/>
        </w:rPr>
      </w:pPr>
      <w:r w:rsidRPr="00EF3F63">
        <w:rPr>
          <w:sz w:val="22"/>
          <w:szCs w:val="22"/>
          <w14:ligatures w14:val="none"/>
        </w:rPr>
        <w:t xml:space="preserve">On May 9, 2024, the AJ issued an Initial Decision on Remand. He held that OEA lacked jurisdiction and thus, did not have authority to address the merits of Agency’s removal action. The AJ explained that D.C. Code § 1-616.52 (f) provides that whichever avenue of redress is first chosen, is the sole venue through which an employee may pursue </w:t>
      </w:r>
      <w:r w:rsidRPr="00EF3F63">
        <w:rPr>
          <w:sz w:val="22"/>
          <w:szCs w:val="22"/>
          <w14:ligatures w14:val="none"/>
        </w:rPr>
        <w:lastRenderedPageBreak/>
        <w:t>redress. He determined that Employee’s decision, through her union, to first grieve this cause of action through the CBA prevented her from filing with OEA. Additionally, he noted that Employee’s grievance withdrawal came seven years after it was first filed. The AJ opined that Employee could not have a second attempt to appeal. Consequently, he ordered that the matter be dismissed for lack of jurisdiction.</w:t>
      </w:r>
    </w:p>
    <w:p w14:paraId="61822F48" w14:textId="77777777" w:rsidR="008036D5" w:rsidRPr="008036D5" w:rsidRDefault="008036D5" w:rsidP="008036D5">
      <w:pPr>
        <w:jc w:val="both"/>
        <w:rPr>
          <w:sz w:val="12"/>
          <w:szCs w:val="12"/>
        </w:rPr>
      </w:pPr>
      <w:r w:rsidRPr="00EF3F63">
        <w:rPr>
          <w:sz w:val="22"/>
          <w:szCs w:val="22"/>
          <w14:ligatures w14:val="none"/>
        </w:rPr>
        <w:tab/>
      </w:r>
    </w:p>
    <w:p w14:paraId="5A5CC12F" w14:textId="77777777" w:rsidR="008036D5" w:rsidRPr="00EF3F63" w:rsidRDefault="008036D5" w:rsidP="008036D5">
      <w:pPr>
        <w:ind w:left="1620"/>
        <w:jc w:val="both"/>
        <w:rPr>
          <w:sz w:val="22"/>
          <w:szCs w:val="22"/>
          <w14:ligatures w14:val="none"/>
        </w:rPr>
      </w:pPr>
      <w:r w:rsidRPr="00EF3F63">
        <w:rPr>
          <w:sz w:val="22"/>
          <w:szCs w:val="22"/>
          <w14:ligatures w14:val="none"/>
        </w:rPr>
        <w:t xml:space="preserve">Employee disagreed with the Initial Decision and filed a Petition for Review with the OEA Board on June 7, 2024. She reiterated several arguments made throughout the appeal. Employee asserted that OEA had jurisdiction and provided that her only course of action was the appeal before OEA. She emphasized that she did not consent to join the WTU’s grievance and had not accepted any settlement or received funds from Agency related to any settlement. Therefore, Employee requested that the Initial Decision on Remand be vacated and that the matter be remanded to the AJ for further consideration. </w:t>
      </w:r>
    </w:p>
    <w:p w14:paraId="632F7E8D" w14:textId="77777777" w:rsidR="008036D5" w:rsidRPr="008036D5" w:rsidRDefault="008036D5" w:rsidP="008036D5">
      <w:pPr>
        <w:jc w:val="both"/>
        <w:rPr>
          <w:sz w:val="12"/>
          <w:szCs w:val="12"/>
          <w14:ligatures w14:val="none"/>
        </w:rPr>
      </w:pPr>
    </w:p>
    <w:p w14:paraId="336C14B9" w14:textId="1ECE1605" w:rsidR="008036D5" w:rsidRPr="00EF3F63" w:rsidRDefault="008036D5" w:rsidP="008036D5">
      <w:pPr>
        <w:ind w:left="1620"/>
        <w:jc w:val="both"/>
        <w:rPr>
          <w:sz w:val="22"/>
          <w:szCs w:val="22"/>
          <w14:ligatures w14:val="none"/>
        </w:rPr>
      </w:pPr>
      <w:r w:rsidRPr="00EF3F63">
        <w:rPr>
          <w:sz w:val="22"/>
          <w:szCs w:val="22"/>
          <w14:ligatures w14:val="none"/>
        </w:rPr>
        <w:t xml:space="preserve">On January 16, 2025, this Board issued its Opinion and Order on Remand. The Board determined that the AJ erred in concluding that filing a grievance under the CBA precluded Employee from appealing to OEA.  It relied on the </w:t>
      </w:r>
      <w:r w:rsidRPr="00EF3F63">
        <w:rPr>
          <w:i/>
          <w:iCs/>
          <w:sz w:val="22"/>
          <w:szCs w:val="22"/>
          <w14:ligatures w14:val="none"/>
        </w:rPr>
        <w:t>Fraternal Order of Police/Metropolitan Police Department Labor Committee v. District of Columbia Metropolitan Police Department</w:t>
      </w:r>
      <w:r w:rsidRPr="00EF3F63">
        <w:rPr>
          <w:sz w:val="22"/>
          <w:szCs w:val="22"/>
          <w14:ligatures w14:val="none"/>
        </w:rPr>
        <w:t xml:space="preserve">, </w:t>
      </w:r>
      <w:r w:rsidRPr="00EF3F63">
        <w:rPr>
          <w:sz w:val="22"/>
          <w:szCs w:val="22"/>
        </w:rPr>
        <w:t xml:space="preserve">277 A.3d 1272 (D.C. 2022) </w:t>
      </w:r>
      <w:r w:rsidRPr="00EF3F63">
        <w:rPr>
          <w:sz w:val="22"/>
          <w:szCs w:val="22"/>
          <w14:ligatures w14:val="none"/>
        </w:rPr>
        <w:t xml:space="preserve">and explained that D.C. Code § 1-616.52(e), prohibited employees from pursuing both avenues of relief, but did not prohibit them from filing appeals in both forums. Accordingly, the Board remanded the matter to the AJ to determine whether Employee knowingly exercised her discretion to pursue a grievance through the WTU. The Board also directed the AJ to determine whether Employee’s recovery through the grievance process prevented OEA from rendering a decision, given Agency’s claim that Employee received a lump sum payment and Employee’s assertion that she had not received any compensation. </w:t>
      </w:r>
    </w:p>
    <w:p w14:paraId="5463BF38" w14:textId="77777777" w:rsidR="008036D5" w:rsidRPr="008036D5" w:rsidRDefault="008036D5" w:rsidP="008036D5">
      <w:pPr>
        <w:jc w:val="both"/>
        <w:rPr>
          <w:bCs/>
          <w:sz w:val="12"/>
          <w:szCs w:val="12"/>
        </w:rPr>
      </w:pPr>
    </w:p>
    <w:p w14:paraId="11ABA229" w14:textId="77777777" w:rsidR="008036D5" w:rsidRPr="00EF3F63" w:rsidRDefault="008036D5" w:rsidP="008036D5">
      <w:pPr>
        <w:ind w:left="1620"/>
        <w:jc w:val="both"/>
        <w:rPr>
          <w:bCs/>
          <w:sz w:val="22"/>
          <w:szCs w:val="22"/>
          <w14:ligatures w14:val="none"/>
        </w:rPr>
      </w:pPr>
      <w:r w:rsidRPr="00EF3F63">
        <w:rPr>
          <w:bCs/>
          <w:sz w:val="22"/>
          <w:szCs w:val="22"/>
          <w14:ligatures w14:val="none"/>
        </w:rPr>
        <w:t xml:space="preserve">On March 3, 2025, the AJ issued an Order requesting the parties to submit briefs to determine whether Employee exercised her discretion to have the WTU file a grievance on her behalf, in light of the holding in </w:t>
      </w:r>
      <w:r w:rsidRPr="00EF3F63">
        <w:rPr>
          <w:bCs/>
          <w:i/>
          <w:iCs/>
          <w:sz w:val="22"/>
          <w:szCs w:val="22"/>
          <w14:ligatures w14:val="none"/>
        </w:rPr>
        <w:t>Fraternal Order of Police/Metropolitan Police Department Labor Committee v. District of Columbia Metropolitan Police Department</w:t>
      </w:r>
      <w:r w:rsidRPr="00EF3F63">
        <w:rPr>
          <w:bCs/>
          <w:sz w:val="22"/>
          <w:szCs w:val="22"/>
          <w14:ligatures w14:val="none"/>
        </w:rPr>
        <w:t>.</w:t>
      </w:r>
      <w:r w:rsidRPr="00EF3F63">
        <w:rPr>
          <w:sz w:val="22"/>
          <w:szCs w:val="22"/>
        </w:rPr>
        <w:t xml:space="preserve"> </w:t>
      </w:r>
      <w:r w:rsidRPr="00EF3F63">
        <w:rPr>
          <w:sz w:val="22"/>
          <w:szCs w:val="22"/>
          <w14:ligatures w14:val="none"/>
        </w:rPr>
        <w:t xml:space="preserve">Agency maintained in its brief that OEA lacked jurisdiction. It argued that the grievance settlement was reached by all parties; thus, Employee should not have been permitted to seek further relief before OEA because she already pursued legal recourse through the WTU and prevailed. Moreover, Agency noted that Employee acknowledged the appeal and grievance addressed the same issues.  Agency argued that Employee could not rely on </w:t>
      </w:r>
      <w:r w:rsidRPr="00EF3F63">
        <w:rPr>
          <w:i/>
          <w:iCs/>
          <w:sz w:val="22"/>
          <w:szCs w:val="22"/>
          <w14:ligatures w14:val="none"/>
        </w:rPr>
        <w:t>Fraternal Order of Police/Metropolitan Police Department Labor Committee v. District of Columbia Metropolitan Police Department</w:t>
      </w:r>
      <w:r w:rsidRPr="00EF3F63">
        <w:rPr>
          <w:sz w:val="22"/>
          <w:szCs w:val="22"/>
          <w14:ligatures w14:val="none"/>
        </w:rPr>
        <w:t xml:space="preserve"> because while the ruling permitted filing in both forums, it did not allow recovery in both. Lastly, Agency provided that it was prepared to issue Employee a new check to ensure that she received the full settlement amount without any loss of entitlement due to the passage of time</w:t>
      </w:r>
      <w:r w:rsidRPr="00EF3F63">
        <w:rPr>
          <w:bCs/>
          <w:sz w:val="22"/>
          <w:szCs w:val="22"/>
          <w14:ligatures w14:val="none"/>
        </w:rPr>
        <w:t>.</w:t>
      </w:r>
    </w:p>
    <w:p w14:paraId="0078B812" w14:textId="77777777" w:rsidR="008036D5" w:rsidRPr="008036D5" w:rsidRDefault="008036D5" w:rsidP="008036D5">
      <w:pPr>
        <w:jc w:val="both"/>
        <w:rPr>
          <w:sz w:val="18"/>
          <w:szCs w:val="18"/>
        </w:rPr>
      </w:pPr>
    </w:p>
    <w:p w14:paraId="323A2E5B" w14:textId="77777777" w:rsidR="008036D5" w:rsidRPr="00EF3F63" w:rsidRDefault="008036D5" w:rsidP="008036D5">
      <w:pPr>
        <w:ind w:left="1620"/>
        <w:jc w:val="both"/>
        <w:rPr>
          <w:sz w:val="22"/>
          <w:szCs w:val="22"/>
          <w14:ligatures w14:val="none"/>
        </w:rPr>
      </w:pPr>
      <w:r w:rsidRPr="00EF3F63">
        <w:rPr>
          <w:sz w:val="22"/>
          <w:szCs w:val="22"/>
          <w14:ligatures w14:val="none"/>
        </w:rPr>
        <w:t>Employee filed her brief on April 30, 2025, reiterating many of the same arguments made throughout the appeal. Specifically, she maintained that she neither accepted a settlement nor received any funds from the settlement between the WTU and Agency. Additionally, Employee asserted that she never established an attorney-client relationship with the WTU and had consistently pursued her appeal since 2010.</w:t>
      </w:r>
      <w:r w:rsidRPr="00EF3F63">
        <w:rPr>
          <w:bCs/>
          <w:sz w:val="22"/>
          <w:szCs w:val="22"/>
          <w14:ligatures w14:val="none"/>
        </w:rPr>
        <w:t xml:space="preserve">  </w:t>
      </w:r>
    </w:p>
    <w:p w14:paraId="7D112C27" w14:textId="77777777" w:rsidR="008036D5" w:rsidRPr="008036D5" w:rsidRDefault="008036D5" w:rsidP="008036D5">
      <w:pPr>
        <w:jc w:val="both"/>
        <w:rPr>
          <w:sz w:val="12"/>
          <w:szCs w:val="12"/>
        </w:rPr>
      </w:pPr>
    </w:p>
    <w:p w14:paraId="16D7CA5F" w14:textId="795D1668" w:rsidR="008036D5" w:rsidRPr="00EF3F63" w:rsidRDefault="008036D5" w:rsidP="008036D5">
      <w:pPr>
        <w:ind w:left="1620"/>
        <w:jc w:val="both"/>
        <w:rPr>
          <w:sz w:val="22"/>
          <w:szCs w:val="22"/>
          <w14:ligatures w14:val="none"/>
        </w:rPr>
      </w:pPr>
      <w:r w:rsidRPr="00EF3F63">
        <w:rPr>
          <w:sz w:val="22"/>
          <w:szCs w:val="22"/>
          <w14:ligatures w14:val="none"/>
        </w:rPr>
        <w:t xml:space="preserve">Agency filed a sur-reply on June 2, 2025. It argued that union representation did not require an attorney-client relationship. Agency explained that an employee who is a member of the WTU authorized the union to act on the employee’s behalf in matters concerning the CBA, including grievances, disciplinary actions, and collective </w:t>
      </w:r>
      <w:r w:rsidRPr="00EF3F63">
        <w:rPr>
          <w:sz w:val="22"/>
          <w:szCs w:val="22"/>
          <w14:ligatures w14:val="none"/>
        </w:rPr>
        <w:lastRenderedPageBreak/>
        <w:t>bargaining.</w:t>
      </w:r>
      <w:r>
        <w:rPr>
          <w:sz w:val="22"/>
          <w:szCs w:val="22"/>
          <w14:ligatures w14:val="none"/>
        </w:rPr>
        <w:t xml:space="preserve"> </w:t>
      </w:r>
      <w:r w:rsidRPr="00EF3F63">
        <w:rPr>
          <w:sz w:val="22"/>
          <w:szCs w:val="22"/>
          <w14:ligatures w14:val="none"/>
        </w:rPr>
        <w:t>Furthermore, Agency maintained that Employee was included in the grievance and had been awarded monetary compensation pursuant to the settlement agreement. It asserted that Employee’s failure to physically collect the funds did not mean that she had not received the award. Agency further contended that Employee was intentionally declining to collect the funds to determine what additional recovery she could obtain through her OEA appeal.</w:t>
      </w:r>
    </w:p>
    <w:p w14:paraId="6F7B537C" w14:textId="77777777" w:rsidR="008036D5" w:rsidRPr="008036D5" w:rsidRDefault="008036D5" w:rsidP="008036D5">
      <w:pPr>
        <w:jc w:val="both"/>
        <w:rPr>
          <w:sz w:val="12"/>
          <w:szCs w:val="12"/>
        </w:rPr>
      </w:pPr>
    </w:p>
    <w:p w14:paraId="693EA5FE" w14:textId="77777777" w:rsidR="008036D5" w:rsidRPr="00EF3F63" w:rsidRDefault="008036D5" w:rsidP="008036D5">
      <w:pPr>
        <w:ind w:left="1620"/>
        <w:jc w:val="both"/>
        <w:rPr>
          <w:sz w:val="22"/>
          <w:szCs w:val="22"/>
          <w14:ligatures w14:val="none"/>
        </w:rPr>
      </w:pPr>
      <w:r w:rsidRPr="00EF3F63">
        <w:rPr>
          <w:sz w:val="22"/>
          <w:szCs w:val="22"/>
          <w14:ligatures w14:val="none"/>
        </w:rPr>
        <w:t>On June 22, 2026, the AJ issued his Second Initial Decision on Remand. He determined that the WTU grievance filed on behalf of Employee was settled on January 30, 2016. The AJ opined that Employee could have informed the WTU that she did not wish to be included in the class action grievance but failed to do so. He reasoned that Employee should have known that she acquiescence to further litigation by signing the release of her personnel file to WTU, and Employee’s failure to dissociate herself from the grievance did not entitle her to pursue further litigation before OEA to have a better outcome. The AJ further noted that regardless of whether Employee physically collected her settlement award, the funds remained available to her, and she could not recover through the grievance process and OEA. Consequently, he held that Employee was precluded from proceeding with her OEA appeal and dismissed her Petition for Appeal</w:t>
      </w:r>
      <w:r w:rsidRPr="00EF3F63">
        <w:rPr>
          <w:bCs/>
          <w:sz w:val="22"/>
          <w:szCs w:val="22"/>
          <w14:ligatures w14:val="none"/>
        </w:rPr>
        <w:t>.</w:t>
      </w:r>
    </w:p>
    <w:p w14:paraId="2372FB7C" w14:textId="77777777" w:rsidR="008036D5" w:rsidRPr="008036D5" w:rsidRDefault="008036D5" w:rsidP="008036D5">
      <w:pPr>
        <w:jc w:val="both"/>
        <w:rPr>
          <w:sz w:val="12"/>
          <w:szCs w:val="12"/>
        </w:rPr>
      </w:pPr>
    </w:p>
    <w:p w14:paraId="0D268157" w14:textId="77777777" w:rsidR="008036D5" w:rsidRPr="00EF3F63" w:rsidRDefault="008036D5" w:rsidP="008036D5">
      <w:pPr>
        <w:ind w:left="1620"/>
        <w:jc w:val="both"/>
        <w:rPr>
          <w:sz w:val="22"/>
          <w:szCs w:val="22"/>
          <w14:ligatures w14:val="none"/>
        </w:rPr>
      </w:pPr>
      <w:r w:rsidRPr="00EF3F63">
        <w:rPr>
          <w:sz w:val="22"/>
          <w:szCs w:val="22"/>
          <w14:ligatures w14:val="none"/>
        </w:rPr>
        <w:t xml:space="preserve">Employee filed a Second Petition for Review on July 28, 2026.  She maintains that she neither authorized the WTU to settle her claim nor received any funds from the settlement.  Employee argues that Agency waived its preclusion defense by failing to raise it in 2010.  Furthermore, she contends that the ruling in </w:t>
      </w:r>
      <w:r w:rsidRPr="00EF3F63">
        <w:rPr>
          <w:i/>
          <w:iCs/>
          <w:sz w:val="22"/>
          <w:szCs w:val="22"/>
          <w14:ligatures w14:val="none"/>
        </w:rPr>
        <w:t>Fraternal Order of Police/Metropolitan Police Department Labor Committee v. District of Columbia Metropolitan Police Department</w:t>
      </w:r>
      <w:r w:rsidRPr="00EF3F63">
        <w:rPr>
          <w:sz w:val="22"/>
          <w:szCs w:val="22"/>
          <w14:ligatures w14:val="none"/>
        </w:rPr>
        <w:t xml:space="preserve"> permitted her to both file a grievance and an OEA appeal. Accordingly, Employee requests that the Second Initial Decision on Remand be reversed.</w:t>
      </w:r>
      <w:r w:rsidRPr="00EF3F63">
        <w:rPr>
          <w:bCs/>
          <w:sz w:val="22"/>
          <w:szCs w:val="22"/>
          <w14:ligatures w14:val="none"/>
        </w:rPr>
        <w:t xml:space="preserve">  </w:t>
      </w:r>
    </w:p>
    <w:p w14:paraId="193CB06A" w14:textId="77777777" w:rsidR="008036D5" w:rsidRPr="008036D5" w:rsidRDefault="008036D5" w:rsidP="008036D5">
      <w:pPr>
        <w:jc w:val="both"/>
        <w:rPr>
          <w:sz w:val="12"/>
          <w:szCs w:val="12"/>
        </w:rPr>
      </w:pPr>
    </w:p>
    <w:p w14:paraId="484882C3" w14:textId="77777777" w:rsidR="008036D5" w:rsidRPr="00EF3F63" w:rsidRDefault="008036D5" w:rsidP="008036D5">
      <w:pPr>
        <w:ind w:left="1620"/>
        <w:jc w:val="both"/>
        <w:rPr>
          <w:sz w:val="22"/>
          <w:szCs w:val="22"/>
          <w14:ligatures w14:val="none"/>
        </w:rPr>
      </w:pPr>
      <w:r w:rsidRPr="00EF3F63">
        <w:rPr>
          <w:sz w:val="22"/>
          <w:szCs w:val="22"/>
          <w14:ligatures w14:val="none"/>
        </w:rPr>
        <w:t xml:space="preserve">On October 13, 2026, Agency filed its response. It contends that the ruling in </w:t>
      </w:r>
      <w:r w:rsidRPr="00EF3F63">
        <w:rPr>
          <w:i/>
          <w:iCs/>
          <w:sz w:val="22"/>
          <w:szCs w:val="22"/>
          <w14:ligatures w14:val="none"/>
        </w:rPr>
        <w:t>Fraternal Order of Police/Metropolitan Police Department Labor Committee v. District of Columbia Metropolitan Police Department</w:t>
      </w:r>
      <w:r w:rsidRPr="00EF3F63">
        <w:rPr>
          <w:sz w:val="22"/>
          <w:szCs w:val="22"/>
          <w14:ligatures w14:val="none"/>
        </w:rPr>
        <w:t xml:space="preserve"> provides that the election of remedies is not jurisdictional and does not permit recovery in both forums. Agency further argues that the final resolution of the grievance precludes Employee’s appeal, regardless of whether she collects the settlement funds. Moreover, Agency agrees with the AJ’s determination that Employee cannot pursue both avenues of relief and wait until recovery is obtained in one forum to determine which avenue to pursue. Consequently, Agency requests that Employee’s Second Petition for Review be denied</w:t>
      </w:r>
      <w:r w:rsidRPr="00EF3F63">
        <w:rPr>
          <w:bCs/>
          <w:sz w:val="22"/>
          <w:szCs w:val="22"/>
          <w14:ligatures w14:val="none"/>
        </w:rPr>
        <w:t>.</w:t>
      </w:r>
    </w:p>
    <w:p w14:paraId="3802A496" w14:textId="20CD4BC8" w:rsidR="0085002B" w:rsidRPr="008036D5" w:rsidRDefault="0085002B" w:rsidP="008036D5">
      <w:pPr>
        <w:pStyle w:val="ListParagraph"/>
        <w:ind w:left="1620"/>
        <w:jc w:val="both"/>
        <w:rPr>
          <w:b/>
          <w:bCs/>
          <w:sz w:val="12"/>
          <w:szCs w:val="12"/>
        </w:rPr>
      </w:pPr>
    </w:p>
    <w:p w14:paraId="4184E19A" w14:textId="24DC71B3" w:rsidR="0085002B" w:rsidRPr="00F42627" w:rsidRDefault="0085002B" w:rsidP="0085002B">
      <w:pPr>
        <w:pStyle w:val="ListParagraph"/>
        <w:numPr>
          <w:ilvl w:val="2"/>
          <w:numId w:val="1"/>
        </w:numPr>
        <w:jc w:val="both"/>
        <w:rPr>
          <w:sz w:val="22"/>
          <w:szCs w:val="22"/>
        </w:rPr>
      </w:pPr>
      <w:r w:rsidRPr="00F42627">
        <w:rPr>
          <w:rFonts w:eastAsia="SimSun"/>
          <w:b/>
          <w:sz w:val="22"/>
          <w:szCs w:val="22"/>
          <w:lang w:eastAsia="zh-CN"/>
        </w:rPr>
        <w:t>Employee v. D.C. Department of Forensic Sciences, OEA Matter No. 2401-0014-22R26</w:t>
      </w:r>
      <w:r>
        <w:rPr>
          <w:rFonts w:eastAsia="SimSun"/>
          <w:b/>
          <w:sz w:val="22"/>
          <w:szCs w:val="22"/>
          <w:lang w:eastAsia="zh-CN"/>
        </w:rPr>
        <w:t xml:space="preserve"> </w:t>
      </w:r>
      <w:r w:rsidRPr="00F42627">
        <w:rPr>
          <w:rFonts w:eastAsia="SimSun"/>
          <w:b/>
          <w:sz w:val="22"/>
          <w:szCs w:val="22"/>
          <w:lang w:eastAsia="zh-CN"/>
        </w:rPr>
        <w:t xml:space="preserve">– </w:t>
      </w:r>
      <w:r w:rsidRPr="00F42627">
        <w:rPr>
          <w:sz w:val="22"/>
          <w:szCs w:val="22"/>
        </w:rPr>
        <w:t>Employee worked as a Forensic Scientist with the District of Columbia Department of Forensic Sciences (“Agency”). On September 15, 2021, Agency provided Employee with written notice that her position was being abolished pursuant to a Reduction-in-Force (“RIF”). The effective date of her separation from service was October 22, 2021.</w:t>
      </w:r>
    </w:p>
    <w:p w14:paraId="21CFA70A" w14:textId="77777777" w:rsidR="0085002B" w:rsidRPr="0064144F" w:rsidRDefault="0085002B" w:rsidP="0085002B">
      <w:pPr>
        <w:contextualSpacing/>
        <w:jc w:val="both"/>
        <w:rPr>
          <w:sz w:val="12"/>
          <w:szCs w:val="12"/>
        </w:rPr>
      </w:pPr>
    </w:p>
    <w:p w14:paraId="3647F929" w14:textId="77777777" w:rsidR="0085002B" w:rsidRPr="00B7143D" w:rsidRDefault="0085002B" w:rsidP="0085002B">
      <w:pPr>
        <w:ind w:left="1620"/>
        <w:contextualSpacing/>
        <w:jc w:val="both"/>
        <w:rPr>
          <w:sz w:val="22"/>
          <w:szCs w:val="22"/>
        </w:rPr>
      </w:pPr>
      <w:r w:rsidRPr="00B7143D">
        <w:rPr>
          <w:sz w:val="22"/>
          <w:szCs w:val="22"/>
        </w:rPr>
        <w:t xml:space="preserve">Employee filed a Petition for Appeal with the Office of Employee Appeals (“OEA”) on November 29, 2021. She argued that Agency violated D.C. Code § 1-624.02(a)(3); Chapter 24 of the District Personnel Manual (“DPM”); and E-DPM Instruction Nos. 8-69, 9-36, and 36-11. Employee also contended that Agency failed to provide her with priority consideration for any positions to which she applied after receiving the RIF notice. As a result, she requested that the RIF be reversed. In response, Agency filed a Motion to Dismiss Employee’s appeal pursuant to D.C. Code § 1-606.3 because her petition was filed more than thirty days after the effective date of the RIF. </w:t>
      </w:r>
    </w:p>
    <w:p w14:paraId="022E5B29" w14:textId="77777777" w:rsidR="0085002B" w:rsidRPr="0064144F" w:rsidRDefault="0085002B" w:rsidP="0085002B">
      <w:pPr>
        <w:contextualSpacing/>
        <w:jc w:val="both"/>
        <w:rPr>
          <w:sz w:val="12"/>
          <w:szCs w:val="12"/>
        </w:rPr>
      </w:pPr>
    </w:p>
    <w:p w14:paraId="476BEF63" w14:textId="77777777" w:rsidR="0085002B" w:rsidRPr="00B7143D" w:rsidRDefault="0085002B" w:rsidP="0085002B">
      <w:pPr>
        <w:ind w:left="1620"/>
        <w:contextualSpacing/>
        <w:jc w:val="both"/>
        <w:rPr>
          <w:sz w:val="22"/>
          <w:szCs w:val="22"/>
        </w:rPr>
      </w:pPr>
      <w:r w:rsidRPr="00B7143D">
        <w:rPr>
          <w:sz w:val="22"/>
          <w:szCs w:val="22"/>
        </w:rPr>
        <w:t>The OEA Administrative Judge (“AJ”) held a prehearing conference on February 23, 2022. The parties were subsequently ordered to submit briefs addressing whether Agency followed all applicable regulations when conducting the RIF. After reviewing the parties’ submissions, the AJ determined that the contested facts warranted an evidentiary hearing. Therefore, a hearing was held on March 21, 2023. The parties were then ordered to submit closing arguments on or before June 2, 2023.</w:t>
      </w:r>
      <w:r w:rsidRPr="00B7143D">
        <w:rPr>
          <w:sz w:val="22"/>
          <w:szCs w:val="22"/>
        </w:rPr>
        <w:tab/>
      </w:r>
    </w:p>
    <w:p w14:paraId="12CB8B5A" w14:textId="77777777" w:rsidR="0085002B" w:rsidRPr="0064144F" w:rsidRDefault="0085002B" w:rsidP="0085002B">
      <w:pPr>
        <w:contextualSpacing/>
        <w:jc w:val="both"/>
        <w:rPr>
          <w:sz w:val="12"/>
          <w:szCs w:val="12"/>
        </w:rPr>
      </w:pPr>
    </w:p>
    <w:p w14:paraId="25ADB2C5" w14:textId="77777777" w:rsidR="0085002B" w:rsidRPr="00B7143D" w:rsidRDefault="0085002B" w:rsidP="0085002B">
      <w:pPr>
        <w:ind w:left="1620"/>
        <w:contextualSpacing/>
        <w:jc w:val="both"/>
        <w:rPr>
          <w:sz w:val="22"/>
          <w:szCs w:val="22"/>
        </w:rPr>
      </w:pPr>
      <w:r w:rsidRPr="00B7143D">
        <w:rPr>
          <w:sz w:val="22"/>
          <w:szCs w:val="22"/>
        </w:rPr>
        <w:t>The AJ issued an Initial Decision on August 24, 2023, upholding Employee’s separation from service under the RIF. Employee appealed the decision to the Superior Court of the District of Columbia. On December 16, 2025, the Court issued an order remanding the matter to OEA. Specifically, the AJ was directed to identify 1) whether Employee was placed on the Agency Reemployment Priority Program (“ARPP”) list by the RIF notice date of September 22, 2021; 2) whether Employee was given priority consideration for vacancies within the entirety of the Department of Forensic Sciences during the period between the RIF notice date and the date Employee was placed on the ARPP list; and 3) to determine if there were any vacancies for which Employee was qualified, but not given priority consideration.</w:t>
      </w:r>
    </w:p>
    <w:p w14:paraId="13AFF674" w14:textId="77777777" w:rsidR="0085002B" w:rsidRPr="0064144F" w:rsidRDefault="0085002B" w:rsidP="0085002B">
      <w:pPr>
        <w:contextualSpacing/>
        <w:jc w:val="both"/>
        <w:rPr>
          <w:sz w:val="12"/>
          <w:szCs w:val="12"/>
        </w:rPr>
      </w:pPr>
    </w:p>
    <w:p w14:paraId="608E6D2C" w14:textId="77777777" w:rsidR="0085002B" w:rsidRPr="00B7143D" w:rsidRDefault="0085002B" w:rsidP="0085002B">
      <w:pPr>
        <w:ind w:left="1620"/>
        <w:contextualSpacing/>
        <w:jc w:val="both"/>
        <w:rPr>
          <w:sz w:val="22"/>
          <w:szCs w:val="22"/>
        </w:rPr>
      </w:pPr>
      <w:r w:rsidRPr="00B7143D">
        <w:rPr>
          <w:sz w:val="22"/>
          <w:szCs w:val="22"/>
        </w:rPr>
        <w:t>The AJ issued an Initial Decision on Remand on August 31, 2026. She ruled that it was undisputed that Agency failed to place Employee on the ARPP list by September 22, 2021. Because Agency conceded that it did not place Employee on the ARPP list by that date, the AJ found that Employee was not given priority consideration for any vacancies that existed during the RIF notice period. However, she explained that Employee was nonetheless not entitled to priority reemployment because there were open vacancies during the RIF notice period, but Employee was not qualified for any of the positions. Additionally, the AJ concluded that the delay in placing Employee on the ARPP list did not significantly affect Agency’s decision to separate her based on a harmless error analysis. Consequently, the AJ upheld Agency’s RIF action.</w:t>
      </w:r>
    </w:p>
    <w:p w14:paraId="52FF1131" w14:textId="77777777" w:rsidR="0085002B" w:rsidRPr="0064144F" w:rsidRDefault="0085002B" w:rsidP="0085002B">
      <w:pPr>
        <w:contextualSpacing/>
        <w:jc w:val="both"/>
        <w:rPr>
          <w:sz w:val="12"/>
          <w:szCs w:val="12"/>
        </w:rPr>
      </w:pPr>
    </w:p>
    <w:p w14:paraId="1E436755" w14:textId="77777777" w:rsidR="0085002B" w:rsidRPr="00B7143D" w:rsidRDefault="0085002B" w:rsidP="0085002B">
      <w:pPr>
        <w:ind w:left="1620"/>
        <w:contextualSpacing/>
        <w:jc w:val="both"/>
        <w:rPr>
          <w:sz w:val="22"/>
          <w:szCs w:val="22"/>
        </w:rPr>
      </w:pPr>
      <w:r w:rsidRPr="00B7143D">
        <w:rPr>
          <w:sz w:val="22"/>
          <w:szCs w:val="22"/>
        </w:rPr>
        <w:t xml:space="preserve">Employee filed a Notice of Supplemental Authority with OEA on August 31, 2026. The notice highlighted the Superior Court for the District of Columbia’s rulings in </w:t>
      </w:r>
      <w:r w:rsidRPr="00B7143D">
        <w:rPr>
          <w:i/>
          <w:iCs/>
          <w:sz w:val="22"/>
          <w:szCs w:val="22"/>
        </w:rPr>
        <w:t>Beckham v. D.C. Department of Forensic Sciences</w:t>
      </w:r>
      <w:r w:rsidRPr="00B7143D">
        <w:rPr>
          <w:sz w:val="22"/>
          <w:szCs w:val="22"/>
        </w:rPr>
        <w:t xml:space="preserve">, Case No. 2024-CAB-000397 (D.C. Super. Ct. August 26, 2026) and </w:t>
      </w:r>
      <w:r w:rsidRPr="00B7143D">
        <w:rPr>
          <w:i/>
          <w:iCs/>
          <w:sz w:val="22"/>
          <w:szCs w:val="22"/>
        </w:rPr>
        <w:t>Bobek v. D.C. Department of Forensic Sciences</w:t>
      </w:r>
      <w:r w:rsidRPr="00B7143D">
        <w:rPr>
          <w:sz w:val="22"/>
          <w:szCs w:val="22"/>
        </w:rPr>
        <w:t>, Case No. 2024-CAB-000335 (D.C. Super. Ct. August 26, 2026). According to Employee, the above-mentioned cases were reversed and remanded to this Office to address the same issues presented on remand in the instant matter. Therefore, she requested that OEA be alerted to the rulings in both cases.</w:t>
      </w:r>
    </w:p>
    <w:p w14:paraId="1ADFFC40" w14:textId="77777777" w:rsidR="0085002B" w:rsidRPr="0064144F" w:rsidRDefault="0085002B" w:rsidP="0085002B">
      <w:pPr>
        <w:contextualSpacing/>
        <w:jc w:val="both"/>
        <w:rPr>
          <w:sz w:val="12"/>
          <w:szCs w:val="12"/>
        </w:rPr>
      </w:pPr>
    </w:p>
    <w:p w14:paraId="1DDCEAF5" w14:textId="77777777" w:rsidR="0085002B" w:rsidRPr="00B7143D" w:rsidRDefault="0085002B" w:rsidP="0085002B">
      <w:pPr>
        <w:ind w:left="1620"/>
        <w:contextualSpacing/>
        <w:jc w:val="both"/>
        <w:rPr>
          <w:sz w:val="22"/>
          <w:szCs w:val="22"/>
        </w:rPr>
      </w:pPr>
      <w:r w:rsidRPr="00B7143D">
        <w:rPr>
          <w:sz w:val="22"/>
          <w:szCs w:val="22"/>
        </w:rPr>
        <w:t xml:space="preserve">Employee subsequently filed a Motion for Limited Reconsideration with the AJ on September 1, 2026. She requests that the AJ reopen this matter for reconsideration in light of the Superior Court’s holdings in </w:t>
      </w:r>
      <w:r w:rsidRPr="00B7143D">
        <w:rPr>
          <w:i/>
          <w:iCs/>
          <w:sz w:val="22"/>
          <w:szCs w:val="22"/>
        </w:rPr>
        <w:t>Beckham</w:t>
      </w:r>
      <w:r w:rsidRPr="00B7143D">
        <w:rPr>
          <w:sz w:val="22"/>
          <w:szCs w:val="22"/>
        </w:rPr>
        <w:t xml:space="preserve"> and </w:t>
      </w:r>
      <w:r w:rsidRPr="00B7143D">
        <w:rPr>
          <w:i/>
          <w:iCs/>
          <w:sz w:val="22"/>
          <w:szCs w:val="22"/>
        </w:rPr>
        <w:t>Bobek</w:t>
      </w:r>
      <w:r w:rsidRPr="00B7143D">
        <w:rPr>
          <w:sz w:val="22"/>
          <w:szCs w:val="22"/>
        </w:rPr>
        <w:t>. Employee reiterates that the Court reversed and remanded OEA’s rulings in matters that are identical to the issues presented on remand in this case. As such, she asks that the motion be granted.</w:t>
      </w:r>
    </w:p>
    <w:p w14:paraId="3F2E8C53" w14:textId="77777777" w:rsidR="0085002B" w:rsidRPr="0064144F" w:rsidRDefault="0085002B" w:rsidP="0085002B">
      <w:pPr>
        <w:contextualSpacing/>
        <w:jc w:val="both"/>
        <w:rPr>
          <w:sz w:val="12"/>
          <w:szCs w:val="12"/>
        </w:rPr>
      </w:pPr>
    </w:p>
    <w:p w14:paraId="77CA2564" w14:textId="77777777" w:rsidR="0085002B" w:rsidRDefault="0085002B" w:rsidP="0085002B">
      <w:pPr>
        <w:ind w:left="1620"/>
        <w:contextualSpacing/>
        <w:jc w:val="both"/>
        <w:rPr>
          <w:sz w:val="22"/>
          <w:szCs w:val="22"/>
        </w:rPr>
      </w:pPr>
      <w:r w:rsidRPr="00B7143D">
        <w:rPr>
          <w:sz w:val="22"/>
          <w:szCs w:val="22"/>
        </w:rPr>
        <w:t xml:space="preserve">Agency filed a response to Employee’s motion on September 11, 2026. It contends that the AJ is not permitted to consider Employee’s motion because her jurisdiction over this matter terminated upon the issuance of the Initial Decision on Remand. Alternatively, Agency suggests that if OEA were to treat Employee’s motion as a Petition for Review, it should be denied for failure to state a cognizable basis for appeal under OEA Rule 637.4. Additionally, it reasons that the Court’s rulings in </w:t>
      </w:r>
      <w:r w:rsidRPr="00B7143D">
        <w:rPr>
          <w:i/>
          <w:iCs/>
          <w:sz w:val="22"/>
          <w:szCs w:val="22"/>
        </w:rPr>
        <w:t xml:space="preserve">Beckham </w:t>
      </w:r>
      <w:r w:rsidRPr="00B7143D">
        <w:rPr>
          <w:sz w:val="22"/>
          <w:szCs w:val="22"/>
        </w:rPr>
        <w:t xml:space="preserve">and </w:t>
      </w:r>
      <w:r w:rsidRPr="00B7143D">
        <w:rPr>
          <w:i/>
          <w:iCs/>
          <w:sz w:val="22"/>
          <w:szCs w:val="22"/>
        </w:rPr>
        <w:t>Bobek</w:t>
      </w:r>
      <w:r w:rsidRPr="00B7143D">
        <w:rPr>
          <w:sz w:val="22"/>
          <w:szCs w:val="22"/>
        </w:rPr>
        <w:t xml:space="preserve"> address issues that were not within the scope of remand in this matter and that those cases rely on information not litigated in this case. Therefore, Agency asks that Employee’s motion </w:t>
      </w:r>
      <w:r w:rsidRPr="00B7143D">
        <w:rPr>
          <w:sz w:val="22"/>
          <w:szCs w:val="22"/>
        </w:rPr>
        <w:lastRenderedPageBreak/>
        <w:t>be denied.</w:t>
      </w:r>
    </w:p>
    <w:p w14:paraId="2FD04CAC" w14:textId="06389002" w:rsidR="000476E9" w:rsidRPr="000D72D5" w:rsidRDefault="000476E9" w:rsidP="008036D5">
      <w:pPr>
        <w:pStyle w:val="ListParagraph"/>
        <w:ind w:left="1620"/>
        <w:jc w:val="both"/>
        <w:rPr>
          <w:sz w:val="12"/>
          <w:szCs w:val="12"/>
        </w:rPr>
      </w:pPr>
    </w:p>
    <w:p w14:paraId="4CE1853C" w14:textId="1A907CB5" w:rsidR="00DD43BD" w:rsidRDefault="00DD43BD" w:rsidP="00D57B5D">
      <w:pPr>
        <w:widowControl/>
        <w:numPr>
          <w:ilvl w:val="1"/>
          <w:numId w:val="1"/>
        </w:numPr>
        <w:tabs>
          <w:tab w:val="clear" w:pos="1440"/>
        </w:tabs>
        <w:ind w:left="-90" w:firstLine="360"/>
        <w:contextualSpacing/>
        <w:jc w:val="both"/>
        <w:rPr>
          <w:rFonts w:eastAsia="SimSun"/>
          <w:b/>
          <w:sz w:val="22"/>
          <w:szCs w:val="22"/>
          <w:lang w:eastAsia="zh-CN"/>
        </w:rPr>
      </w:pPr>
      <w:r w:rsidRPr="00B71DF0">
        <w:rPr>
          <w:rFonts w:eastAsia="SimSun"/>
          <w:b/>
          <w:sz w:val="22"/>
          <w:szCs w:val="22"/>
          <w:lang w:eastAsia="zh-CN"/>
        </w:rPr>
        <w:t>Public Comments on Petitions for Review</w:t>
      </w:r>
    </w:p>
    <w:p w14:paraId="7538EFFE" w14:textId="77777777" w:rsidR="00DD43BD" w:rsidRDefault="00DD43BD" w:rsidP="00DD43BD">
      <w:pPr>
        <w:widowControl/>
        <w:ind w:left="270"/>
        <w:contextualSpacing/>
        <w:jc w:val="both"/>
        <w:rPr>
          <w:rFonts w:eastAsia="SimSun"/>
          <w:b/>
          <w:sz w:val="22"/>
          <w:szCs w:val="22"/>
          <w:lang w:eastAsia="zh-CN"/>
        </w:rPr>
      </w:pPr>
    </w:p>
    <w:p w14:paraId="711BCDC2" w14:textId="3EB1FA71" w:rsidR="00D57B5D" w:rsidRPr="00F61428" w:rsidRDefault="00D57B5D" w:rsidP="00D57B5D">
      <w:pPr>
        <w:widowControl/>
        <w:numPr>
          <w:ilvl w:val="1"/>
          <w:numId w:val="1"/>
        </w:numPr>
        <w:tabs>
          <w:tab w:val="clear" w:pos="1440"/>
        </w:tabs>
        <w:ind w:left="-90" w:firstLine="360"/>
        <w:contextualSpacing/>
        <w:jc w:val="both"/>
        <w:rPr>
          <w:rFonts w:eastAsia="SimSun"/>
          <w:b/>
          <w:sz w:val="22"/>
          <w:szCs w:val="22"/>
          <w:lang w:eastAsia="zh-CN"/>
        </w:rPr>
      </w:pPr>
      <w:r w:rsidRPr="00F61428">
        <w:rPr>
          <w:rFonts w:eastAsia="SimSun"/>
          <w:b/>
          <w:sz w:val="22"/>
          <w:szCs w:val="22"/>
          <w:lang w:eastAsia="zh-CN"/>
        </w:rPr>
        <w:t xml:space="preserve">Deliberations </w:t>
      </w:r>
      <w:r w:rsidRPr="00F61428">
        <w:rPr>
          <w:rFonts w:eastAsia="SimSun"/>
          <w:sz w:val="22"/>
          <w:szCs w:val="22"/>
          <w:lang w:eastAsia="zh-CN"/>
        </w:rPr>
        <w:t xml:space="preserve">– This portion of the meeting will be closed to the public for deliberations </w:t>
      </w:r>
    </w:p>
    <w:p w14:paraId="52B18E60" w14:textId="77777777" w:rsidR="00D57B5D" w:rsidRDefault="00D57B5D" w:rsidP="00D57B5D">
      <w:pPr>
        <w:ind w:left="270" w:firstLine="450"/>
        <w:contextualSpacing/>
        <w:jc w:val="both"/>
        <w:rPr>
          <w:rFonts w:eastAsia="SimSun"/>
          <w:b/>
          <w:sz w:val="22"/>
          <w:szCs w:val="22"/>
          <w:lang w:eastAsia="zh-CN"/>
        </w:rPr>
      </w:pPr>
      <w:r w:rsidRPr="00F61428">
        <w:rPr>
          <w:rFonts w:eastAsia="SimSun"/>
          <w:sz w:val="22"/>
          <w:szCs w:val="22"/>
          <w:lang w:eastAsia="zh-CN"/>
        </w:rPr>
        <w:t xml:space="preserve">in accordance with D.C. Code § 2-575(b)(13).  </w:t>
      </w:r>
    </w:p>
    <w:p w14:paraId="00AFDF4E" w14:textId="77777777" w:rsidR="00D57B5D" w:rsidRPr="003945A9" w:rsidRDefault="00D57B5D" w:rsidP="00D57B5D">
      <w:pPr>
        <w:ind w:left="270" w:firstLine="450"/>
        <w:contextualSpacing/>
        <w:jc w:val="both"/>
        <w:rPr>
          <w:rFonts w:eastAsia="SimSun"/>
          <w:b/>
          <w:sz w:val="12"/>
          <w:szCs w:val="12"/>
          <w:lang w:eastAsia="zh-CN"/>
        </w:rPr>
      </w:pPr>
      <w:r w:rsidRPr="00F61428">
        <w:rPr>
          <w:rFonts w:eastAsia="SimSun"/>
          <w:sz w:val="22"/>
          <w:szCs w:val="22"/>
          <w:lang w:eastAsia="zh-CN"/>
        </w:rPr>
        <w:t xml:space="preserve">         </w:t>
      </w:r>
    </w:p>
    <w:p w14:paraId="7616726C" w14:textId="77777777" w:rsidR="00D57B5D" w:rsidRPr="00F61428" w:rsidRDefault="00D57B5D" w:rsidP="00D57B5D">
      <w:pPr>
        <w:widowControl/>
        <w:numPr>
          <w:ilvl w:val="1"/>
          <w:numId w:val="1"/>
        </w:numPr>
        <w:tabs>
          <w:tab w:val="clear" w:pos="1440"/>
          <w:tab w:val="num" w:pos="720"/>
        </w:tabs>
        <w:ind w:left="1170" w:hanging="900"/>
        <w:contextualSpacing/>
        <w:jc w:val="both"/>
        <w:rPr>
          <w:rFonts w:eastAsia="SimSun"/>
          <w:b/>
          <w:sz w:val="22"/>
          <w:szCs w:val="22"/>
          <w:lang w:eastAsia="zh-CN"/>
        </w:rPr>
      </w:pPr>
      <w:r w:rsidRPr="00F61428">
        <w:rPr>
          <w:rFonts w:eastAsia="SimSun"/>
          <w:b/>
          <w:sz w:val="22"/>
          <w:szCs w:val="22"/>
          <w:lang w:eastAsia="zh-CN"/>
        </w:rPr>
        <w:t>Open Portion Resumes</w:t>
      </w:r>
    </w:p>
    <w:p w14:paraId="56309730" w14:textId="77777777" w:rsidR="00D57B5D" w:rsidRPr="00F61428" w:rsidRDefault="00D57B5D" w:rsidP="00D57B5D">
      <w:pPr>
        <w:tabs>
          <w:tab w:val="num" w:pos="1080"/>
        </w:tabs>
        <w:ind w:left="1440" w:hanging="450"/>
        <w:contextualSpacing/>
        <w:jc w:val="both"/>
        <w:rPr>
          <w:rFonts w:eastAsia="SimSun"/>
          <w:b/>
          <w:sz w:val="12"/>
          <w:szCs w:val="12"/>
          <w:lang w:eastAsia="zh-CN"/>
        </w:rPr>
      </w:pPr>
    </w:p>
    <w:p w14:paraId="2124FEDB" w14:textId="77777777" w:rsidR="00D57B5D" w:rsidRPr="00F61428" w:rsidRDefault="00D57B5D" w:rsidP="00D57B5D">
      <w:pPr>
        <w:widowControl/>
        <w:numPr>
          <w:ilvl w:val="1"/>
          <w:numId w:val="1"/>
        </w:numPr>
        <w:tabs>
          <w:tab w:val="clear" w:pos="1440"/>
          <w:tab w:val="num" w:pos="990"/>
        </w:tabs>
        <w:ind w:left="720" w:hanging="450"/>
        <w:contextualSpacing/>
        <w:jc w:val="both"/>
        <w:rPr>
          <w:rFonts w:eastAsia="SimSun"/>
          <w:b/>
          <w:sz w:val="22"/>
          <w:szCs w:val="22"/>
          <w:lang w:eastAsia="zh-CN"/>
        </w:rPr>
      </w:pPr>
      <w:r w:rsidRPr="00F61428">
        <w:rPr>
          <w:rFonts w:eastAsia="SimSun"/>
          <w:b/>
          <w:sz w:val="22"/>
          <w:szCs w:val="22"/>
          <w:lang w:eastAsia="zh-CN"/>
        </w:rPr>
        <w:t>Final Votes on Cases</w:t>
      </w:r>
    </w:p>
    <w:p w14:paraId="2351D90C" w14:textId="77777777" w:rsidR="00D57B5D" w:rsidRPr="00F61428" w:rsidRDefault="00D57B5D" w:rsidP="00D57B5D">
      <w:pPr>
        <w:ind w:left="720" w:hanging="450"/>
        <w:contextualSpacing/>
        <w:rPr>
          <w:rFonts w:eastAsia="SimSun"/>
          <w:b/>
          <w:sz w:val="12"/>
          <w:szCs w:val="12"/>
          <w:lang w:eastAsia="zh-CN"/>
        </w:rPr>
      </w:pPr>
    </w:p>
    <w:p w14:paraId="160071C3" w14:textId="77777777" w:rsidR="00D57B5D" w:rsidRPr="00F61428" w:rsidRDefault="00D57B5D" w:rsidP="00D57B5D">
      <w:pPr>
        <w:widowControl/>
        <w:numPr>
          <w:ilvl w:val="1"/>
          <w:numId w:val="1"/>
        </w:numPr>
        <w:tabs>
          <w:tab w:val="clear" w:pos="1440"/>
          <w:tab w:val="left" w:pos="720"/>
          <w:tab w:val="num" w:pos="990"/>
        </w:tabs>
        <w:ind w:hanging="1170"/>
        <w:contextualSpacing/>
        <w:jc w:val="both"/>
        <w:rPr>
          <w:rFonts w:eastAsia="SimSun"/>
          <w:b/>
          <w:sz w:val="22"/>
          <w:szCs w:val="22"/>
          <w:lang w:eastAsia="zh-CN"/>
        </w:rPr>
      </w:pPr>
      <w:r w:rsidRPr="00F61428">
        <w:rPr>
          <w:rFonts w:eastAsia="SimSun"/>
          <w:b/>
          <w:sz w:val="22"/>
          <w:szCs w:val="22"/>
          <w:lang w:eastAsia="zh-CN"/>
        </w:rPr>
        <w:t>Public Comments</w:t>
      </w:r>
    </w:p>
    <w:p w14:paraId="2A18F57F" w14:textId="77777777" w:rsidR="00D57B5D" w:rsidRPr="00F61428" w:rsidRDefault="00D57B5D" w:rsidP="00D57B5D">
      <w:pPr>
        <w:tabs>
          <w:tab w:val="left" w:pos="720"/>
        </w:tabs>
        <w:contextualSpacing/>
        <w:jc w:val="both"/>
        <w:rPr>
          <w:rFonts w:eastAsia="SimSun"/>
          <w:b/>
          <w:sz w:val="12"/>
          <w:szCs w:val="12"/>
          <w:lang w:eastAsia="zh-CN"/>
        </w:rPr>
      </w:pPr>
    </w:p>
    <w:p w14:paraId="1A8ED0B2" w14:textId="77777777" w:rsidR="00D57B5D" w:rsidRPr="003945A9" w:rsidRDefault="00D57B5D" w:rsidP="00D57B5D">
      <w:pPr>
        <w:widowControl/>
        <w:numPr>
          <w:ilvl w:val="0"/>
          <w:numId w:val="1"/>
        </w:numPr>
        <w:tabs>
          <w:tab w:val="left" w:pos="720"/>
        </w:tabs>
        <w:ind w:left="540" w:hanging="540"/>
        <w:contextualSpacing/>
        <w:jc w:val="both"/>
        <w:rPr>
          <w:rFonts w:eastAsia="SimSun"/>
          <w:b/>
          <w:sz w:val="22"/>
          <w:szCs w:val="22"/>
          <w:lang w:eastAsia="zh-CN"/>
        </w:rPr>
      </w:pPr>
      <w:r w:rsidRPr="00F61428">
        <w:rPr>
          <w:rFonts w:eastAsia="SimSun"/>
          <w:b/>
          <w:sz w:val="22"/>
          <w:szCs w:val="22"/>
          <w:lang w:eastAsia="zh-CN"/>
        </w:rPr>
        <w:t xml:space="preserve">Adjournment </w:t>
      </w:r>
    </w:p>
    <w:p w14:paraId="73E9020B" w14:textId="77777777" w:rsidR="00D57B5D" w:rsidRDefault="00D57B5D" w:rsidP="00D57B5D">
      <w:pPr>
        <w:tabs>
          <w:tab w:val="left" w:pos="720"/>
        </w:tabs>
        <w:contextualSpacing/>
        <w:jc w:val="both"/>
        <w:rPr>
          <w:rFonts w:eastAsia="SimSun"/>
          <w:bCs/>
          <w:sz w:val="22"/>
          <w:szCs w:val="22"/>
          <w:lang w:eastAsia="zh-CN"/>
        </w:rPr>
      </w:pPr>
    </w:p>
    <w:p w14:paraId="4D0067D7" w14:textId="77777777" w:rsidR="00D57B5D" w:rsidRPr="003945A9" w:rsidRDefault="00D57B5D" w:rsidP="00D57B5D">
      <w:pPr>
        <w:tabs>
          <w:tab w:val="left" w:pos="720"/>
        </w:tabs>
        <w:contextualSpacing/>
        <w:jc w:val="both"/>
        <w:rPr>
          <w:rFonts w:eastAsia="SimSun"/>
          <w:b/>
          <w:sz w:val="22"/>
          <w:szCs w:val="22"/>
          <w:lang w:eastAsia="zh-CN"/>
        </w:rPr>
      </w:pPr>
      <w:r w:rsidRPr="00F61428">
        <w:rPr>
          <w:rFonts w:eastAsia="SimSun"/>
          <w:bCs/>
          <w:sz w:val="22"/>
          <w:szCs w:val="22"/>
          <w:lang w:eastAsia="zh-CN"/>
        </w:rPr>
        <w:t xml:space="preserve">“This meeting is governed by the Open Meetings Act.  Please address any questions or complaints arising under this meeting to the Office of Open Government at </w:t>
      </w:r>
      <w:hyperlink r:id="rId10" w:history="1">
        <w:r w:rsidRPr="00F61428">
          <w:rPr>
            <w:rStyle w:val="Hyperlink"/>
            <w:rFonts w:eastAsia="SimSun"/>
            <w:bCs/>
            <w:sz w:val="22"/>
            <w:szCs w:val="22"/>
            <w:lang w:eastAsia="zh-CN"/>
          </w:rPr>
          <w:t>opengovoffice@dc.gov</w:t>
        </w:r>
      </w:hyperlink>
      <w:r w:rsidRPr="00F61428">
        <w:rPr>
          <w:rFonts w:eastAsia="SimSun"/>
          <w:bCs/>
          <w:sz w:val="22"/>
          <w:szCs w:val="22"/>
          <w:lang w:eastAsia="zh-CN"/>
        </w:rPr>
        <w:t>.”</w:t>
      </w:r>
    </w:p>
    <w:p w14:paraId="041930E0" w14:textId="77777777" w:rsidR="00D57B5D" w:rsidRDefault="00D57B5D" w:rsidP="00D57B5D"/>
    <w:sectPr w:rsidR="00D57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B5223" w14:textId="77777777" w:rsidR="009148BC" w:rsidRDefault="009148BC" w:rsidP="000476E9">
      <w:r>
        <w:separator/>
      </w:r>
    </w:p>
  </w:endnote>
  <w:endnote w:type="continuationSeparator" w:id="0">
    <w:p w14:paraId="21DF959B" w14:textId="77777777" w:rsidR="009148BC" w:rsidRDefault="009148BC" w:rsidP="00047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7F86D" w14:textId="77777777" w:rsidR="009148BC" w:rsidRDefault="009148BC" w:rsidP="000476E9">
      <w:r>
        <w:separator/>
      </w:r>
    </w:p>
  </w:footnote>
  <w:footnote w:type="continuationSeparator" w:id="0">
    <w:p w14:paraId="46432D52" w14:textId="77777777" w:rsidR="009148BC" w:rsidRDefault="009148BC" w:rsidP="00047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63F1C"/>
    <w:multiLevelType w:val="hybridMultilevel"/>
    <w:tmpl w:val="7DD86578"/>
    <w:lvl w:ilvl="0" w:tplc="600E7EF2">
      <w:start w:val="1"/>
      <w:numFmt w:val="upperRoman"/>
      <w:lvlText w:val="%1."/>
      <w:lvlJc w:val="left"/>
      <w:pPr>
        <w:tabs>
          <w:tab w:val="num" w:pos="1080"/>
        </w:tabs>
        <w:ind w:left="1080" w:hanging="720"/>
      </w:pPr>
      <w:rPr>
        <w:b/>
      </w:rPr>
    </w:lvl>
    <w:lvl w:ilvl="1" w:tplc="AE1E5B42">
      <w:start w:val="1"/>
      <w:numFmt w:val="upperLetter"/>
      <w:lvlText w:val="%2."/>
      <w:lvlJc w:val="left"/>
      <w:pPr>
        <w:tabs>
          <w:tab w:val="num" w:pos="1440"/>
        </w:tabs>
        <w:ind w:left="1440" w:hanging="360"/>
      </w:pPr>
      <w:rPr>
        <w:b/>
      </w:rPr>
    </w:lvl>
    <w:lvl w:ilvl="2" w:tplc="1496FC8C">
      <w:start w:val="1"/>
      <w:numFmt w:val="decimal"/>
      <w:lvlText w:val="%3."/>
      <w:lvlJc w:val="left"/>
      <w:pPr>
        <w:tabs>
          <w:tab w:val="num" w:pos="1620"/>
        </w:tabs>
        <w:ind w:left="1620" w:hanging="360"/>
      </w:pPr>
      <w:rPr>
        <w:b/>
        <w:bCs w:val="0"/>
        <w:color w:val="auto"/>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70292DF1"/>
    <w:multiLevelType w:val="hybridMultilevel"/>
    <w:tmpl w:val="0F1603CC"/>
    <w:lvl w:ilvl="0" w:tplc="E90AD82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4996567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6885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B5D"/>
    <w:rsid w:val="000433F5"/>
    <w:rsid w:val="000476E9"/>
    <w:rsid w:val="0005196A"/>
    <w:rsid w:val="000A793D"/>
    <w:rsid w:val="000B5085"/>
    <w:rsid w:val="0013465F"/>
    <w:rsid w:val="0018330A"/>
    <w:rsid w:val="00185B8C"/>
    <w:rsid w:val="00191DFD"/>
    <w:rsid w:val="001E1170"/>
    <w:rsid w:val="002102F6"/>
    <w:rsid w:val="0021709A"/>
    <w:rsid w:val="00222761"/>
    <w:rsid w:val="0023793A"/>
    <w:rsid w:val="002617FA"/>
    <w:rsid w:val="002B718A"/>
    <w:rsid w:val="00317EB3"/>
    <w:rsid w:val="003330C3"/>
    <w:rsid w:val="00346397"/>
    <w:rsid w:val="00366FC3"/>
    <w:rsid w:val="00391093"/>
    <w:rsid w:val="004546E9"/>
    <w:rsid w:val="00455BCF"/>
    <w:rsid w:val="00472E69"/>
    <w:rsid w:val="00491FE9"/>
    <w:rsid w:val="004A3266"/>
    <w:rsid w:val="004E71E3"/>
    <w:rsid w:val="00515BBD"/>
    <w:rsid w:val="005334FF"/>
    <w:rsid w:val="00547AA8"/>
    <w:rsid w:val="005C4EAB"/>
    <w:rsid w:val="00607F42"/>
    <w:rsid w:val="00657BEE"/>
    <w:rsid w:val="00683596"/>
    <w:rsid w:val="006E3D15"/>
    <w:rsid w:val="00773C7D"/>
    <w:rsid w:val="00787C58"/>
    <w:rsid w:val="007A2411"/>
    <w:rsid w:val="008036D5"/>
    <w:rsid w:val="008125F8"/>
    <w:rsid w:val="0085002B"/>
    <w:rsid w:val="008E7EA7"/>
    <w:rsid w:val="008F4248"/>
    <w:rsid w:val="009148BC"/>
    <w:rsid w:val="0098332A"/>
    <w:rsid w:val="009F7F91"/>
    <w:rsid w:val="00A04FA5"/>
    <w:rsid w:val="00A466B8"/>
    <w:rsid w:val="00A57079"/>
    <w:rsid w:val="00A61A0C"/>
    <w:rsid w:val="00A66B0C"/>
    <w:rsid w:val="00A84DCD"/>
    <w:rsid w:val="00B42E0D"/>
    <w:rsid w:val="00B500D0"/>
    <w:rsid w:val="00B50A90"/>
    <w:rsid w:val="00BE732C"/>
    <w:rsid w:val="00C37D82"/>
    <w:rsid w:val="00C86389"/>
    <w:rsid w:val="00CB16D4"/>
    <w:rsid w:val="00D57B5D"/>
    <w:rsid w:val="00D6373D"/>
    <w:rsid w:val="00D75183"/>
    <w:rsid w:val="00D87F65"/>
    <w:rsid w:val="00D957FE"/>
    <w:rsid w:val="00DD43BD"/>
    <w:rsid w:val="00DE727E"/>
    <w:rsid w:val="00E85CA9"/>
    <w:rsid w:val="00F01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10E7"/>
  <w15:chartTrackingRefBased/>
  <w15:docId w15:val="{19691713-C289-442D-80E9-F4C7D0ED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B5D"/>
    <w:pPr>
      <w:widowControl w:val="0"/>
      <w:spacing w:after="0" w:line="240" w:lineRule="auto"/>
    </w:pPr>
    <w:rPr>
      <w:rFonts w:ascii="Times New Roman" w:eastAsia="Times New Roman" w:hAnsi="Times New Roman" w:cs="Times New Roman"/>
      <w:kern w:val="0"/>
    </w:rPr>
  </w:style>
  <w:style w:type="paragraph" w:styleId="Heading1">
    <w:name w:val="heading 1"/>
    <w:basedOn w:val="Normal"/>
    <w:next w:val="Normal"/>
    <w:link w:val="Heading1Char"/>
    <w:uiPriority w:val="9"/>
    <w:qFormat/>
    <w:rsid w:val="00D57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7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7B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7B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7B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7B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7B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B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B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B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7B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7B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7B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7B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7B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B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B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B5D"/>
    <w:rPr>
      <w:rFonts w:eastAsiaTheme="majorEastAsia" w:cstheme="majorBidi"/>
      <w:color w:val="272727" w:themeColor="text1" w:themeTint="D8"/>
    </w:rPr>
  </w:style>
  <w:style w:type="paragraph" w:styleId="Title">
    <w:name w:val="Title"/>
    <w:basedOn w:val="Normal"/>
    <w:next w:val="Normal"/>
    <w:link w:val="TitleChar"/>
    <w:uiPriority w:val="10"/>
    <w:qFormat/>
    <w:rsid w:val="00D57B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B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B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B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B5D"/>
    <w:pPr>
      <w:spacing w:before="160"/>
      <w:jc w:val="center"/>
    </w:pPr>
    <w:rPr>
      <w:i/>
      <w:iCs/>
      <w:color w:val="404040" w:themeColor="text1" w:themeTint="BF"/>
    </w:rPr>
  </w:style>
  <w:style w:type="character" w:customStyle="1" w:styleId="QuoteChar">
    <w:name w:val="Quote Char"/>
    <w:basedOn w:val="DefaultParagraphFont"/>
    <w:link w:val="Quote"/>
    <w:uiPriority w:val="29"/>
    <w:rsid w:val="00D57B5D"/>
    <w:rPr>
      <w:i/>
      <w:iCs/>
      <w:color w:val="404040" w:themeColor="text1" w:themeTint="BF"/>
    </w:rPr>
  </w:style>
  <w:style w:type="paragraph" w:styleId="ListParagraph">
    <w:name w:val="List Paragraph"/>
    <w:basedOn w:val="Normal"/>
    <w:uiPriority w:val="34"/>
    <w:qFormat/>
    <w:rsid w:val="00D57B5D"/>
    <w:pPr>
      <w:ind w:left="720"/>
      <w:contextualSpacing/>
    </w:pPr>
  </w:style>
  <w:style w:type="character" w:styleId="IntenseEmphasis">
    <w:name w:val="Intense Emphasis"/>
    <w:basedOn w:val="DefaultParagraphFont"/>
    <w:uiPriority w:val="21"/>
    <w:qFormat/>
    <w:rsid w:val="00D57B5D"/>
    <w:rPr>
      <w:i/>
      <w:iCs/>
      <w:color w:val="0F4761" w:themeColor="accent1" w:themeShade="BF"/>
    </w:rPr>
  </w:style>
  <w:style w:type="paragraph" w:styleId="IntenseQuote">
    <w:name w:val="Intense Quote"/>
    <w:basedOn w:val="Normal"/>
    <w:next w:val="Normal"/>
    <w:link w:val="IntenseQuoteChar"/>
    <w:uiPriority w:val="30"/>
    <w:qFormat/>
    <w:rsid w:val="00D57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7B5D"/>
    <w:rPr>
      <w:i/>
      <w:iCs/>
      <w:color w:val="0F4761" w:themeColor="accent1" w:themeShade="BF"/>
    </w:rPr>
  </w:style>
  <w:style w:type="character" w:styleId="IntenseReference">
    <w:name w:val="Intense Reference"/>
    <w:basedOn w:val="DefaultParagraphFont"/>
    <w:uiPriority w:val="32"/>
    <w:qFormat/>
    <w:rsid w:val="00D57B5D"/>
    <w:rPr>
      <w:b/>
      <w:bCs/>
      <w:smallCaps/>
      <w:color w:val="0F4761" w:themeColor="accent1" w:themeShade="BF"/>
      <w:spacing w:val="5"/>
    </w:rPr>
  </w:style>
  <w:style w:type="character" w:styleId="Hyperlink">
    <w:name w:val="Hyperlink"/>
    <w:basedOn w:val="DefaultParagraphFont"/>
    <w:uiPriority w:val="99"/>
    <w:unhideWhenUsed/>
    <w:rsid w:val="00D57B5D"/>
    <w:rPr>
      <w:color w:val="467886" w:themeColor="hyperlink"/>
      <w:u w:val="single"/>
    </w:rPr>
  </w:style>
  <w:style w:type="paragraph" w:styleId="NoSpacing">
    <w:name w:val="No Spacing"/>
    <w:uiPriority w:val="1"/>
    <w:qFormat/>
    <w:rsid w:val="00B42E0D"/>
    <w:pPr>
      <w:spacing w:after="0" w:line="240" w:lineRule="auto"/>
    </w:pPr>
    <w:rPr>
      <w:rFonts w:ascii="Times New Roman" w:hAnsi="Times New Roman"/>
    </w:rPr>
  </w:style>
  <w:style w:type="character" w:styleId="UnresolvedMention">
    <w:name w:val="Unresolved Mention"/>
    <w:basedOn w:val="DefaultParagraphFont"/>
    <w:uiPriority w:val="99"/>
    <w:semiHidden/>
    <w:unhideWhenUsed/>
    <w:rsid w:val="00D6373D"/>
    <w:rPr>
      <w:color w:val="605E5C"/>
      <w:shd w:val="clear" w:color="auto" w:fill="E1DFDD"/>
    </w:rPr>
  </w:style>
  <w:style w:type="paragraph" w:styleId="FootnoteText">
    <w:name w:val="footnote text"/>
    <w:basedOn w:val="Normal"/>
    <w:link w:val="FootnoteTextChar"/>
    <w:uiPriority w:val="99"/>
    <w:unhideWhenUsed/>
    <w:rsid w:val="000476E9"/>
    <w:pPr>
      <w:widowControl/>
    </w:pPr>
    <w:rPr>
      <w:rFonts w:asciiTheme="minorHAnsi" w:eastAsiaTheme="minorHAnsi" w:hAnsiTheme="minorHAnsi" w:cstheme="minorBidi"/>
      <w:kern w:val="2"/>
      <w:sz w:val="20"/>
      <w:szCs w:val="20"/>
    </w:rPr>
  </w:style>
  <w:style w:type="character" w:customStyle="1" w:styleId="FootnoteTextChar">
    <w:name w:val="Footnote Text Char"/>
    <w:basedOn w:val="DefaultParagraphFont"/>
    <w:link w:val="FootnoteText"/>
    <w:uiPriority w:val="99"/>
    <w:rsid w:val="000476E9"/>
    <w:rPr>
      <w:sz w:val="20"/>
      <w:szCs w:val="20"/>
    </w:rPr>
  </w:style>
  <w:style w:type="character" w:styleId="FootnoteReference">
    <w:name w:val="footnote reference"/>
    <w:basedOn w:val="DefaultParagraphFont"/>
    <w:uiPriority w:val="99"/>
    <w:semiHidden/>
    <w:unhideWhenUsed/>
    <w:rsid w:val="000476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net.webex.com/dcnet/j.php?MTID=m64365c793d2b53b89927eab4e77873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pengovoffice@dc.gov" TargetMode="External"/><Relationship Id="rId4" Type="http://schemas.openxmlformats.org/officeDocument/2006/relationships/settings" Target="settings.xml"/><Relationship Id="rId9" Type="http://schemas.openxmlformats.org/officeDocument/2006/relationships/hyperlink" Target="mailto:wynter.clarke@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7B1CD-5F31-49D4-A808-947D058BF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4519</Words>
  <Characters>25764</Characters>
  <Application>Microsoft Office Word</Application>
  <DocSecurity>4</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30223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Sommer J. (OEA)</dc:creator>
  <cp:keywords/>
  <dc:description/>
  <cp:lastModifiedBy>Clarke, Wynter (OEA)</cp:lastModifiedBy>
  <cp:revision>2</cp:revision>
  <dcterms:created xsi:type="dcterms:W3CDTF">2026-10-28T18:13:00Z</dcterms:created>
  <dcterms:modified xsi:type="dcterms:W3CDTF">2026-10-28T18:13:00Z</dcterms:modified>
</cp:coreProperties>
</file>