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1732B" w14:textId="77777777" w:rsidR="00B87B1F" w:rsidRPr="00746ED9" w:rsidRDefault="00B87B1F" w:rsidP="00B87B1F">
      <w:pPr>
        <w:jc w:val="center"/>
        <w:rPr>
          <w:b/>
          <w:bCs/>
          <w:color w:val="000000" w:themeColor="text1"/>
          <w:sz w:val="22"/>
          <w:szCs w:val="22"/>
          <w:lang w:eastAsia="zh-CN"/>
        </w:rPr>
      </w:pPr>
      <w:r w:rsidRPr="00746ED9">
        <w:rPr>
          <w:b/>
          <w:bCs/>
          <w:color w:val="000000" w:themeColor="text1"/>
          <w:sz w:val="22"/>
          <w:szCs w:val="22"/>
          <w:lang w:eastAsia="zh-CN"/>
        </w:rPr>
        <w:t>DISTRICT OF COLUMBIA</w:t>
      </w:r>
    </w:p>
    <w:p w14:paraId="76DBEF9E" w14:textId="77777777" w:rsidR="00B87B1F" w:rsidRPr="00746ED9" w:rsidRDefault="00B87B1F" w:rsidP="00B87B1F">
      <w:pPr>
        <w:jc w:val="center"/>
        <w:rPr>
          <w:b/>
          <w:bCs/>
          <w:color w:val="000000" w:themeColor="text1"/>
          <w:sz w:val="22"/>
          <w:szCs w:val="22"/>
          <w:lang w:eastAsia="zh-CN"/>
        </w:rPr>
      </w:pPr>
      <w:r w:rsidRPr="00746ED9">
        <w:rPr>
          <w:b/>
          <w:bCs/>
          <w:color w:val="000000" w:themeColor="text1"/>
          <w:sz w:val="22"/>
          <w:szCs w:val="22"/>
          <w:lang w:eastAsia="zh-CN"/>
        </w:rPr>
        <w:t>OFFICE OF EMPLOYEE APPEALS</w:t>
      </w:r>
    </w:p>
    <w:p w14:paraId="6E8466AC" w14:textId="77777777" w:rsidR="00B87B1F" w:rsidRPr="00176979" w:rsidRDefault="00B87B1F" w:rsidP="00B87B1F">
      <w:pPr>
        <w:jc w:val="center"/>
        <w:rPr>
          <w:b/>
          <w:bCs/>
          <w:color w:val="000000" w:themeColor="text1"/>
          <w:sz w:val="12"/>
          <w:szCs w:val="12"/>
          <w:lang w:eastAsia="zh-CN"/>
        </w:rPr>
      </w:pPr>
    </w:p>
    <w:p w14:paraId="6863D270" w14:textId="77777777" w:rsidR="00B87B1F" w:rsidRPr="00746ED9" w:rsidRDefault="00B87B1F" w:rsidP="00B87B1F">
      <w:pPr>
        <w:jc w:val="center"/>
        <w:rPr>
          <w:b/>
          <w:bCs/>
          <w:color w:val="000000" w:themeColor="text1"/>
          <w:sz w:val="22"/>
          <w:szCs w:val="22"/>
          <w:lang w:eastAsia="zh-CN"/>
        </w:rPr>
      </w:pPr>
      <w:r w:rsidRPr="00746ED9">
        <w:rPr>
          <w:b/>
          <w:bCs/>
          <w:color w:val="000000" w:themeColor="text1"/>
          <w:sz w:val="22"/>
          <w:szCs w:val="22"/>
          <w:lang w:eastAsia="zh-CN"/>
        </w:rPr>
        <w:t>NOTICE OF PUBLIC MEETING</w:t>
      </w:r>
    </w:p>
    <w:p w14:paraId="588CF990" w14:textId="77777777" w:rsidR="00B87B1F" w:rsidRPr="00176979" w:rsidRDefault="00B87B1F" w:rsidP="00B87B1F">
      <w:pPr>
        <w:jc w:val="both"/>
        <w:rPr>
          <w:b/>
          <w:bCs/>
          <w:color w:val="000000" w:themeColor="text1"/>
          <w:sz w:val="12"/>
          <w:szCs w:val="12"/>
          <w:lang w:eastAsia="zh-CN"/>
        </w:rPr>
      </w:pPr>
      <w:r w:rsidRPr="00746ED9">
        <w:rPr>
          <w:b/>
          <w:bCs/>
          <w:color w:val="000000" w:themeColor="text1"/>
          <w:sz w:val="22"/>
          <w:szCs w:val="22"/>
          <w:lang w:eastAsia="zh-CN"/>
        </w:rPr>
        <w:t> </w:t>
      </w:r>
    </w:p>
    <w:p w14:paraId="334EF237" w14:textId="77777777" w:rsidR="00B87B1F" w:rsidRPr="00B500D0" w:rsidRDefault="00B87B1F" w:rsidP="00B87B1F">
      <w:pPr>
        <w:contextualSpacing/>
        <w:jc w:val="both"/>
        <w:rPr>
          <w:sz w:val="22"/>
          <w:szCs w:val="22"/>
        </w:rPr>
      </w:pPr>
      <w:r w:rsidRPr="00B500D0">
        <w:rPr>
          <w:sz w:val="22"/>
          <w:szCs w:val="22"/>
        </w:rPr>
        <w:t xml:space="preserve">The District of Columbia Office of Employee Appeals will hold a meeting on </w:t>
      </w:r>
      <w:r>
        <w:rPr>
          <w:sz w:val="22"/>
          <w:szCs w:val="22"/>
        </w:rPr>
        <w:t>August 13</w:t>
      </w:r>
      <w:r w:rsidRPr="00B500D0">
        <w:rPr>
          <w:sz w:val="22"/>
          <w:szCs w:val="22"/>
        </w:rPr>
        <w:t xml:space="preserve">, 2026, at </w:t>
      </w:r>
      <w:r>
        <w:rPr>
          <w:sz w:val="22"/>
          <w:szCs w:val="22"/>
        </w:rPr>
        <w:t>1:00 p.</w:t>
      </w:r>
      <w:r w:rsidRPr="00B500D0">
        <w:rPr>
          <w:sz w:val="22"/>
          <w:szCs w:val="22"/>
        </w:rPr>
        <w:t>m. The Board will meet remotely. Below is the agenda for the meeting.</w:t>
      </w:r>
    </w:p>
    <w:p w14:paraId="76AEE6D8" w14:textId="77777777" w:rsidR="00B87B1F" w:rsidRPr="00D87F65" w:rsidRDefault="00B87B1F" w:rsidP="00B87B1F">
      <w:pPr>
        <w:contextualSpacing/>
        <w:jc w:val="both"/>
        <w:rPr>
          <w:sz w:val="12"/>
          <w:szCs w:val="12"/>
        </w:rPr>
      </w:pPr>
    </w:p>
    <w:p w14:paraId="2EDAD585" w14:textId="77777777" w:rsidR="00B87B1F" w:rsidRDefault="00B87B1F" w:rsidP="00B87B1F">
      <w:pPr>
        <w:contextualSpacing/>
        <w:jc w:val="both"/>
        <w:rPr>
          <w:sz w:val="22"/>
          <w:szCs w:val="22"/>
        </w:rPr>
      </w:pPr>
      <w:r w:rsidRPr="00D87F65">
        <w:rPr>
          <w:sz w:val="22"/>
          <w:szCs w:val="22"/>
        </w:rPr>
        <w:t xml:space="preserve">Members of the public are welcome to observe the meeting. In order to attend the meeting, please visit: </w:t>
      </w:r>
    </w:p>
    <w:p w14:paraId="1C3E1C45" w14:textId="77777777" w:rsidR="00B87B1F" w:rsidRDefault="00B87B1F" w:rsidP="00B87B1F">
      <w:pPr>
        <w:contextualSpacing/>
        <w:jc w:val="both"/>
        <w:rPr>
          <w:sz w:val="22"/>
          <w:szCs w:val="22"/>
        </w:rPr>
      </w:pPr>
      <w:hyperlink r:id="rId5" w:history="1">
        <w:r w:rsidRPr="00D65C68">
          <w:rPr>
            <w:rStyle w:val="Hyperlink"/>
            <w:sz w:val="22"/>
            <w:szCs w:val="22"/>
          </w:rPr>
          <w:t>https://dcnet.webex.com/dcnet/j.php?MTID=m3f8b4f2c6adb9740e909d10dc65e4cdb</w:t>
        </w:r>
      </w:hyperlink>
    </w:p>
    <w:p w14:paraId="15CF4B73" w14:textId="77777777" w:rsidR="00B87B1F" w:rsidRPr="00D87F65" w:rsidRDefault="00B87B1F" w:rsidP="00B87B1F">
      <w:pPr>
        <w:contextualSpacing/>
        <w:jc w:val="both"/>
        <w:rPr>
          <w:sz w:val="12"/>
          <w:szCs w:val="12"/>
        </w:rPr>
      </w:pPr>
    </w:p>
    <w:p w14:paraId="4C8E4016" w14:textId="77777777" w:rsidR="00B87B1F" w:rsidRPr="00D87F65" w:rsidRDefault="00B87B1F" w:rsidP="00B87B1F">
      <w:pPr>
        <w:contextualSpacing/>
        <w:jc w:val="both"/>
        <w:rPr>
          <w:sz w:val="22"/>
          <w:szCs w:val="22"/>
        </w:rPr>
      </w:pPr>
      <w:r w:rsidRPr="00D87F65">
        <w:rPr>
          <w:sz w:val="22"/>
          <w:szCs w:val="22"/>
        </w:rPr>
        <w:t>Password: Board (26274 from phones and video systems)</w:t>
      </w:r>
    </w:p>
    <w:p w14:paraId="083D6682" w14:textId="77777777" w:rsidR="00B87B1F" w:rsidRPr="00D87F65" w:rsidRDefault="00B87B1F" w:rsidP="00B87B1F">
      <w:pPr>
        <w:contextualSpacing/>
        <w:jc w:val="both"/>
        <w:rPr>
          <w:sz w:val="12"/>
          <w:szCs w:val="12"/>
        </w:rPr>
      </w:pPr>
    </w:p>
    <w:p w14:paraId="36924CE3" w14:textId="77777777" w:rsidR="00B87B1F" w:rsidRPr="00D87F65" w:rsidRDefault="00B87B1F" w:rsidP="00B87B1F">
      <w:pPr>
        <w:contextualSpacing/>
        <w:jc w:val="both"/>
        <w:rPr>
          <w:sz w:val="12"/>
          <w:szCs w:val="12"/>
        </w:rPr>
      </w:pPr>
    </w:p>
    <w:p w14:paraId="259C7B21" w14:textId="77777777" w:rsidR="00B87B1F" w:rsidRPr="00D87F65" w:rsidRDefault="00B87B1F" w:rsidP="00B87B1F">
      <w:pPr>
        <w:contextualSpacing/>
        <w:jc w:val="both"/>
        <w:rPr>
          <w:sz w:val="22"/>
          <w:szCs w:val="22"/>
        </w:rPr>
      </w:pPr>
      <w:r w:rsidRPr="00D87F65">
        <w:rPr>
          <w:sz w:val="22"/>
          <w:szCs w:val="22"/>
        </w:rPr>
        <w:t>We recommend logging in ten (10) minutes before the meeting starts. In order to access Webex, laptop or desktop computer users must use Google Chrome, Firefox, or Microsoft Edge Browsers.</w:t>
      </w:r>
    </w:p>
    <w:p w14:paraId="7F2C7295" w14:textId="77777777" w:rsidR="00B87B1F" w:rsidRPr="00D87F65" w:rsidRDefault="00B87B1F" w:rsidP="00B87B1F">
      <w:pPr>
        <w:contextualSpacing/>
        <w:jc w:val="both"/>
        <w:rPr>
          <w:sz w:val="12"/>
          <w:szCs w:val="12"/>
        </w:rPr>
      </w:pPr>
    </w:p>
    <w:p w14:paraId="6734B6E9" w14:textId="77777777" w:rsidR="00B87B1F" w:rsidRPr="00D87F65" w:rsidRDefault="00B87B1F" w:rsidP="00B87B1F">
      <w:pPr>
        <w:contextualSpacing/>
        <w:jc w:val="both"/>
        <w:rPr>
          <w:sz w:val="22"/>
          <w:szCs w:val="22"/>
        </w:rPr>
      </w:pPr>
      <w:r w:rsidRPr="00D87F65">
        <w:rPr>
          <w:sz w:val="22"/>
          <w:szCs w:val="22"/>
        </w:rPr>
        <w:t xml:space="preserve">Smartphone/Tablets or iPad user must first go to the App Store, download the Webex App (Cisco Webex Meetings), enter the Access Code, and enter your name, email address, and click Join. It is recommended that a laptop or desktop computer be utilized for this platform.  </w:t>
      </w:r>
    </w:p>
    <w:p w14:paraId="6C5A015A" w14:textId="77777777" w:rsidR="00B87B1F" w:rsidRPr="00D87F65" w:rsidRDefault="00B87B1F" w:rsidP="00B87B1F">
      <w:pPr>
        <w:contextualSpacing/>
        <w:jc w:val="both"/>
        <w:rPr>
          <w:sz w:val="12"/>
          <w:szCs w:val="12"/>
        </w:rPr>
      </w:pPr>
    </w:p>
    <w:p w14:paraId="53F2CB70" w14:textId="77777777" w:rsidR="00B87B1F" w:rsidRPr="00D87F65" w:rsidRDefault="00B87B1F" w:rsidP="00B87B1F">
      <w:pPr>
        <w:contextualSpacing/>
        <w:jc w:val="both"/>
        <w:rPr>
          <w:sz w:val="22"/>
          <w:szCs w:val="22"/>
        </w:rPr>
      </w:pPr>
      <w:r w:rsidRPr="00D87F65">
        <w:rPr>
          <w:sz w:val="22"/>
          <w:szCs w:val="22"/>
        </w:rPr>
        <w:t xml:space="preserve">Your computer, tablet, or smartphone’s built-in speaker and microphone will be used in the virtual meeting unless you use a headset.  Headsets provide better sound quality and privacy.  </w:t>
      </w:r>
    </w:p>
    <w:p w14:paraId="24735757" w14:textId="77777777" w:rsidR="00B87B1F" w:rsidRPr="00D87F65" w:rsidRDefault="00B87B1F" w:rsidP="00B87B1F">
      <w:pPr>
        <w:contextualSpacing/>
        <w:jc w:val="both"/>
        <w:rPr>
          <w:sz w:val="12"/>
          <w:szCs w:val="12"/>
        </w:rPr>
      </w:pPr>
    </w:p>
    <w:p w14:paraId="77EA5B4D" w14:textId="77777777" w:rsidR="00B87B1F" w:rsidRPr="007A2411" w:rsidRDefault="00B87B1F" w:rsidP="00B87B1F">
      <w:pPr>
        <w:contextualSpacing/>
        <w:jc w:val="both"/>
        <w:rPr>
          <w:sz w:val="22"/>
          <w:szCs w:val="22"/>
        </w:rPr>
      </w:pPr>
      <w:r w:rsidRPr="007A2411">
        <w:rPr>
          <w:sz w:val="22"/>
          <w:szCs w:val="22"/>
        </w:rPr>
        <w:t xml:space="preserve">If you do not have access to the internet, please call-in toll number (US/Canada) 1-650-479-3208, Access Code: </w:t>
      </w:r>
      <w:r w:rsidRPr="00C25F72">
        <w:rPr>
          <w:sz w:val="22"/>
          <w:szCs w:val="22"/>
        </w:rPr>
        <w:t>2318 050 6153</w:t>
      </w:r>
    </w:p>
    <w:p w14:paraId="74BD89BD" w14:textId="77777777" w:rsidR="00B87B1F" w:rsidRPr="00D87F65" w:rsidRDefault="00B87B1F" w:rsidP="00B87B1F">
      <w:pPr>
        <w:contextualSpacing/>
        <w:jc w:val="both"/>
        <w:rPr>
          <w:sz w:val="12"/>
          <w:szCs w:val="12"/>
        </w:rPr>
      </w:pPr>
    </w:p>
    <w:p w14:paraId="2659FFBD" w14:textId="77777777" w:rsidR="00B87B1F" w:rsidRPr="006E7BBB" w:rsidRDefault="00B87B1F" w:rsidP="00B87B1F">
      <w:pPr>
        <w:contextualSpacing/>
        <w:jc w:val="both"/>
        <w:rPr>
          <w:sz w:val="22"/>
          <w:szCs w:val="22"/>
        </w:rPr>
      </w:pPr>
      <w:r w:rsidRPr="00D87F65">
        <w:rPr>
          <w:sz w:val="22"/>
          <w:szCs w:val="22"/>
        </w:rPr>
        <w:t xml:space="preserve">Questions about the meeting may be directed to </w:t>
      </w:r>
      <w:hyperlink r:id="rId6" w:history="1">
        <w:r w:rsidRPr="00D87F65">
          <w:rPr>
            <w:rStyle w:val="Hyperlink"/>
            <w:color w:val="auto"/>
            <w:sz w:val="22"/>
            <w:szCs w:val="22"/>
          </w:rPr>
          <w:t>wynter.clarke@dc.gov</w:t>
        </w:r>
      </w:hyperlink>
      <w:r w:rsidRPr="00D87F65">
        <w:rPr>
          <w:sz w:val="22"/>
          <w:szCs w:val="22"/>
        </w:rPr>
        <w:t>.</w:t>
      </w:r>
    </w:p>
    <w:p w14:paraId="65B4B4AC" w14:textId="77777777" w:rsidR="00B87B1F" w:rsidRPr="00E52BC3" w:rsidRDefault="00B87B1F" w:rsidP="00B87B1F">
      <w:pPr>
        <w:rPr>
          <w:color w:val="000000" w:themeColor="text1"/>
          <w:sz w:val="22"/>
          <w:szCs w:val="22"/>
          <w:highlight w:val="yellow"/>
          <w:lang w:eastAsia="zh-CN"/>
        </w:rPr>
      </w:pPr>
    </w:p>
    <w:p w14:paraId="60842178" w14:textId="77777777" w:rsidR="00B87B1F" w:rsidRPr="00B71DF0" w:rsidRDefault="00B87B1F" w:rsidP="00B87B1F">
      <w:pPr>
        <w:jc w:val="center"/>
        <w:rPr>
          <w:rFonts w:eastAsia="SimSun"/>
          <w:b/>
          <w:sz w:val="22"/>
          <w:szCs w:val="22"/>
          <w:lang w:eastAsia="zh-CN"/>
        </w:rPr>
      </w:pPr>
      <w:r w:rsidRPr="00B71DF0">
        <w:rPr>
          <w:rFonts w:eastAsia="SimSun"/>
          <w:b/>
          <w:sz w:val="22"/>
          <w:szCs w:val="22"/>
          <w:lang w:eastAsia="zh-CN"/>
        </w:rPr>
        <w:t>Agenda</w:t>
      </w:r>
    </w:p>
    <w:p w14:paraId="4804E384" w14:textId="77777777" w:rsidR="00B87B1F" w:rsidRPr="00B71DF0" w:rsidRDefault="00B87B1F" w:rsidP="00B87B1F">
      <w:pPr>
        <w:jc w:val="center"/>
        <w:rPr>
          <w:rFonts w:eastAsia="SimSun"/>
          <w:sz w:val="22"/>
          <w:szCs w:val="22"/>
          <w:lang w:eastAsia="zh-CN"/>
        </w:rPr>
      </w:pPr>
      <w:r w:rsidRPr="00B71DF0">
        <w:rPr>
          <w:rFonts w:eastAsia="SimSun"/>
          <w:sz w:val="22"/>
          <w:szCs w:val="22"/>
          <w:lang w:eastAsia="zh-CN"/>
        </w:rPr>
        <w:t>D.C. OFFICE OF EMPLOYEE APPEALS (“OEA”) BOARD MEETING</w:t>
      </w:r>
    </w:p>
    <w:p w14:paraId="7E992082" w14:textId="77777777" w:rsidR="00B87B1F" w:rsidRPr="00B71DF0" w:rsidRDefault="00B87B1F" w:rsidP="00B87B1F">
      <w:pPr>
        <w:jc w:val="center"/>
        <w:rPr>
          <w:rFonts w:eastAsia="SimSun"/>
          <w:sz w:val="22"/>
          <w:szCs w:val="22"/>
          <w:lang w:eastAsia="zh-CN"/>
        </w:rPr>
      </w:pPr>
      <w:r w:rsidRPr="009C2EE4">
        <w:rPr>
          <w:rFonts w:eastAsia="SimSun"/>
          <w:sz w:val="22"/>
          <w:szCs w:val="22"/>
          <w:lang w:eastAsia="zh-CN"/>
        </w:rPr>
        <w:t xml:space="preserve">Thursday, </w:t>
      </w:r>
      <w:r>
        <w:rPr>
          <w:rFonts w:eastAsia="SimSun"/>
          <w:sz w:val="22"/>
          <w:szCs w:val="22"/>
          <w:lang w:eastAsia="zh-CN"/>
        </w:rPr>
        <w:t>August 13, 2026</w:t>
      </w:r>
      <w:r w:rsidRPr="009C2EE4">
        <w:rPr>
          <w:rFonts w:eastAsia="SimSun"/>
          <w:sz w:val="22"/>
          <w:szCs w:val="22"/>
          <w:lang w:eastAsia="zh-CN"/>
        </w:rPr>
        <w:t xml:space="preserve">, at </w:t>
      </w:r>
      <w:r>
        <w:rPr>
          <w:rFonts w:eastAsia="SimSun"/>
          <w:sz w:val="22"/>
          <w:szCs w:val="22"/>
          <w:lang w:eastAsia="zh-CN"/>
        </w:rPr>
        <w:t>1:00</w:t>
      </w:r>
      <w:r w:rsidRPr="009C2EE4">
        <w:rPr>
          <w:rFonts w:eastAsia="SimSun"/>
          <w:sz w:val="22"/>
          <w:szCs w:val="22"/>
          <w:lang w:eastAsia="zh-CN"/>
        </w:rPr>
        <w:t xml:space="preserve"> </w:t>
      </w:r>
      <w:r>
        <w:rPr>
          <w:rFonts w:eastAsia="SimSun"/>
          <w:sz w:val="22"/>
          <w:szCs w:val="22"/>
          <w:lang w:eastAsia="zh-CN"/>
        </w:rPr>
        <w:t>p</w:t>
      </w:r>
      <w:r w:rsidRPr="009C2EE4">
        <w:rPr>
          <w:rFonts w:eastAsia="SimSun"/>
          <w:sz w:val="22"/>
          <w:szCs w:val="22"/>
          <w:lang w:eastAsia="zh-CN"/>
        </w:rPr>
        <w:t>.m.</w:t>
      </w:r>
    </w:p>
    <w:p w14:paraId="53810819" w14:textId="77777777" w:rsidR="00B87B1F" w:rsidRPr="00B71DF0" w:rsidRDefault="00B87B1F" w:rsidP="00B87B1F">
      <w:pPr>
        <w:jc w:val="center"/>
        <w:rPr>
          <w:rFonts w:eastAsia="SimSun"/>
          <w:sz w:val="22"/>
          <w:szCs w:val="22"/>
          <w:lang w:eastAsia="zh-CN"/>
        </w:rPr>
      </w:pPr>
      <w:r w:rsidRPr="00B71DF0">
        <w:rPr>
          <w:rFonts w:eastAsia="SimSun"/>
          <w:sz w:val="22"/>
          <w:szCs w:val="22"/>
          <w:lang w:eastAsia="zh-CN"/>
        </w:rPr>
        <w:t>Location: Virtual Meeting via Webex</w:t>
      </w:r>
    </w:p>
    <w:p w14:paraId="18207E14" w14:textId="77777777" w:rsidR="00B87B1F" w:rsidRPr="003B5B18" w:rsidRDefault="00B87B1F" w:rsidP="00B87B1F">
      <w:pPr>
        <w:jc w:val="center"/>
        <w:rPr>
          <w:rFonts w:eastAsia="SimSun"/>
          <w:sz w:val="12"/>
          <w:szCs w:val="12"/>
          <w:lang w:eastAsia="zh-CN"/>
        </w:rPr>
      </w:pPr>
    </w:p>
    <w:p w14:paraId="31917452" w14:textId="77777777" w:rsidR="00B87B1F" w:rsidRPr="00B71DF0" w:rsidRDefault="00B87B1F" w:rsidP="00B87B1F">
      <w:pPr>
        <w:widowControl/>
        <w:numPr>
          <w:ilvl w:val="0"/>
          <w:numId w:val="1"/>
        </w:numPr>
        <w:tabs>
          <w:tab w:val="num" w:pos="450"/>
        </w:tabs>
        <w:ind w:hanging="1080"/>
        <w:contextualSpacing/>
        <w:jc w:val="both"/>
        <w:rPr>
          <w:rFonts w:eastAsia="SimSun"/>
          <w:sz w:val="22"/>
          <w:szCs w:val="22"/>
          <w:lang w:eastAsia="zh-CN"/>
        </w:rPr>
      </w:pPr>
      <w:r w:rsidRPr="00B71DF0">
        <w:rPr>
          <w:rFonts w:eastAsia="SimSun"/>
          <w:b/>
          <w:sz w:val="22"/>
          <w:szCs w:val="22"/>
          <w:lang w:eastAsia="zh-CN"/>
        </w:rPr>
        <w:t xml:space="preserve">Call to Order </w:t>
      </w:r>
    </w:p>
    <w:p w14:paraId="34284A54" w14:textId="77777777" w:rsidR="00B87B1F" w:rsidRPr="00A012BA" w:rsidRDefault="00B87B1F" w:rsidP="00B87B1F">
      <w:pPr>
        <w:ind w:left="1080"/>
        <w:contextualSpacing/>
        <w:jc w:val="both"/>
        <w:rPr>
          <w:rFonts w:eastAsia="SimSun"/>
          <w:sz w:val="12"/>
          <w:szCs w:val="12"/>
          <w:lang w:eastAsia="zh-CN"/>
        </w:rPr>
      </w:pPr>
    </w:p>
    <w:p w14:paraId="08B83882" w14:textId="77777777" w:rsidR="00B87B1F" w:rsidRPr="00B71DF0" w:rsidRDefault="00B87B1F" w:rsidP="00B87B1F">
      <w:pPr>
        <w:widowControl/>
        <w:numPr>
          <w:ilvl w:val="0"/>
          <w:numId w:val="1"/>
        </w:numPr>
        <w:tabs>
          <w:tab w:val="num" w:pos="450"/>
          <w:tab w:val="num" w:pos="720"/>
          <w:tab w:val="left" w:pos="900"/>
        </w:tabs>
        <w:ind w:hanging="1080"/>
        <w:contextualSpacing/>
        <w:jc w:val="both"/>
        <w:rPr>
          <w:rFonts w:eastAsia="SimSun"/>
          <w:sz w:val="22"/>
          <w:szCs w:val="22"/>
          <w:lang w:eastAsia="zh-CN"/>
        </w:rPr>
      </w:pPr>
      <w:r w:rsidRPr="00B71DF0">
        <w:rPr>
          <w:rFonts w:eastAsia="SimSun"/>
          <w:b/>
          <w:sz w:val="22"/>
          <w:szCs w:val="22"/>
          <w:lang w:eastAsia="zh-CN"/>
        </w:rPr>
        <w:t>Ascertainment of Quorum</w:t>
      </w:r>
    </w:p>
    <w:p w14:paraId="1E5C8B5A" w14:textId="77777777" w:rsidR="00B87B1F" w:rsidRPr="00A012BA" w:rsidRDefault="00B87B1F" w:rsidP="00B87B1F">
      <w:pPr>
        <w:ind w:left="720"/>
        <w:contextualSpacing/>
        <w:rPr>
          <w:rFonts w:eastAsia="SimSun"/>
          <w:sz w:val="12"/>
          <w:szCs w:val="12"/>
          <w:lang w:eastAsia="zh-CN"/>
        </w:rPr>
      </w:pPr>
    </w:p>
    <w:p w14:paraId="5F5AB10B" w14:textId="77777777" w:rsidR="00B87B1F" w:rsidRPr="00B71DF0" w:rsidRDefault="00B87B1F" w:rsidP="00B87B1F">
      <w:pPr>
        <w:widowControl/>
        <w:numPr>
          <w:ilvl w:val="0"/>
          <w:numId w:val="1"/>
        </w:numPr>
        <w:tabs>
          <w:tab w:val="num" w:pos="450"/>
        </w:tabs>
        <w:ind w:hanging="1080"/>
        <w:contextualSpacing/>
        <w:jc w:val="both"/>
        <w:rPr>
          <w:rFonts w:eastAsia="SimSun"/>
          <w:b/>
          <w:sz w:val="22"/>
          <w:szCs w:val="22"/>
          <w:lang w:eastAsia="zh-CN"/>
        </w:rPr>
      </w:pPr>
      <w:r w:rsidRPr="00B71DF0">
        <w:rPr>
          <w:rFonts w:eastAsia="SimSun"/>
          <w:b/>
          <w:sz w:val="22"/>
          <w:szCs w:val="22"/>
          <w:lang w:eastAsia="zh-CN"/>
        </w:rPr>
        <w:t>Adoption of Agenda</w:t>
      </w:r>
    </w:p>
    <w:p w14:paraId="3546D96D" w14:textId="77777777" w:rsidR="00B87B1F" w:rsidRPr="00A012BA" w:rsidRDefault="00B87B1F" w:rsidP="00B87B1F">
      <w:pPr>
        <w:ind w:left="1080"/>
        <w:contextualSpacing/>
        <w:jc w:val="both"/>
        <w:rPr>
          <w:rFonts w:eastAsia="SimSun"/>
          <w:sz w:val="12"/>
          <w:szCs w:val="12"/>
          <w:lang w:eastAsia="zh-CN"/>
        </w:rPr>
      </w:pPr>
    </w:p>
    <w:p w14:paraId="7A0FE9AF" w14:textId="77777777" w:rsidR="00B87B1F" w:rsidRPr="00B71DF0" w:rsidRDefault="00B87B1F" w:rsidP="00B87B1F">
      <w:pPr>
        <w:widowControl/>
        <w:numPr>
          <w:ilvl w:val="0"/>
          <w:numId w:val="1"/>
        </w:numPr>
        <w:tabs>
          <w:tab w:val="num" w:pos="450"/>
        </w:tabs>
        <w:ind w:hanging="1080"/>
        <w:jc w:val="both"/>
        <w:rPr>
          <w:rFonts w:eastAsia="SimSun"/>
          <w:b/>
          <w:sz w:val="22"/>
          <w:szCs w:val="22"/>
          <w:lang w:eastAsia="zh-CN"/>
        </w:rPr>
      </w:pPr>
      <w:r w:rsidRPr="00B71DF0">
        <w:rPr>
          <w:rFonts w:eastAsia="SimSun"/>
          <w:b/>
          <w:sz w:val="22"/>
          <w:szCs w:val="22"/>
          <w:lang w:eastAsia="zh-CN"/>
        </w:rPr>
        <w:t>Minutes Reviewed from Previous Meeting</w:t>
      </w:r>
    </w:p>
    <w:p w14:paraId="4F84DC87" w14:textId="77777777" w:rsidR="00B87B1F" w:rsidRPr="00A012BA" w:rsidRDefault="00B87B1F" w:rsidP="00B87B1F">
      <w:pPr>
        <w:tabs>
          <w:tab w:val="left" w:pos="1133"/>
        </w:tabs>
        <w:jc w:val="both"/>
        <w:rPr>
          <w:rFonts w:eastAsia="Calibri"/>
          <w:sz w:val="12"/>
          <w:szCs w:val="12"/>
        </w:rPr>
      </w:pPr>
      <w:r w:rsidRPr="00B71DF0">
        <w:rPr>
          <w:rFonts w:eastAsia="Calibri"/>
          <w:sz w:val="22"/>
          <w:szCs w:val="22"/>
        </w:rPr>
        <w:tab/>
      </w:r>
    </w:p>
    <w:p w14:paraId="370D0DEC" w14:textId="77777777" w:rsidR="00B87B1F" w:rsidRPr="00B71DF0" w:rsidRDefault="00B87B1F" w:rsidP="00B87B1F">
      <w:pPr>
        <w:widowControl/>
        <w:numPr>
          <w:ilvl w:val="0"/>
          <w:numId w:val="1"/>
        </w:numPr>
        <w:tabs>
          <w:tab w:val="num" w:pos="450"/>
        </w:tabs>
        <w:ind w:hanging="1080"/>
        <w:contextualSpacing/>
        <w:jc w:val="both"/>
        <w:rPr>
          <w:rFonts w:eastAsia="SimSun"/>
          <w:b/>
          <w:sz w:val="22"/>
          <w:szCs w:val="22"/>
          <w:lang w:eastAsia="zh-CN"/>
        </w:rPr>
      </w:pPr>
      <w:r w:rsidRPr="00B71DF0">
        <w:rPr>
          <w:rFonts w:eastAsia="SimSun"/>
          <w:b/>
          <w:sz w:val="22"/>
          <w:szCs w:val="22"/>
          <w:lang w:eastAsia="zh-CN"/>
        </w:rPr>
        <w:t>New Business</w:t>
      </w:r>
    </w:p>
    <w:p w14:paraId="0ADBD946" w14:textId="77777777" w:rsidR="00B87B1F" w:rsidRPr="00E41D8F" w:rsidRDefault="00B87B1F" w:rsidP="00B87B1F">
      <w:pPr>
        <w:contextualSpacing/>
        <w:jc w:val="both"/>
        <w:rPr>
          <w:rFonts w:eastAsia="SimSun"/>
          <w:sz w:val="12"/>
          <w:szCs w:val="12"/>
          <w:lang w:eastAsia="zh-CN"/>
        </w:rPr>
      </w:pPr>
    </w:p>
    <w:p w14:paraId="2F2B114C" w14:textId="77777777" w:rsidR="00B87B1F" w:rsidRDefault="00B87B1F" w:rsidP="00B87B1F">
      <w:pPr>
        <w:widowControl/>
        <w:numPr>
          <w:ilvl w:val="1"/>
          <w:numId w:val="1"/>
        </w:numPr>
        <w:tabs>
          <w:tab w:val="num" w:pos="900"/>
        </w:tabs>
        <w:ind w:hanging="990"/>
        <w:contextualSpacing/>
        <w:jc w:val="both"/>
        <w:rPr>
          <w:rFonts w:eastAsia="SimSun"/>
          <w:b/>
          <w:sz w:val="22"/>
          <w:szCs w:val="22"/>
          <w:lang w:eastAsia="zh-CN"/>
        </w:rPr>
      </w:pPr>
      <w:r w:rsidRPr="00DD43BD">
        <w:rPr>
          <w:rFonts w:eastAsia="SimSun"/>
          <w:b/>
          <w:sz w:val="22"/>
          <w:szCs w:val="22"/>
          <w:lang w:eastAsia="zh-CN"/>
        </w:rPr>
        <w:t>Summary of Cases</w:t>
      </w:r>
    </w:p>
    <w:p w14:paraId="2243534C" w14:textId="77777777" w:rsidR="00B87B1F" w:rsidRPr="00112576" w:rsidRDefault="00B87B1F" w:rsidP="00B87B1F">
      <w:pPr>
        <w:widowControl/>
        <w:tabs>
          <w:tab w:val="num" w:pos="900"/>
        </w:tabs>
        <w:ind w:left="1440"/>
        <w:contextualSpacing/>
        <w:jc w:val="both"/>
        <w:rPr>
          <w:rFonts w:eastAsia="SimSun"/>
          <w:b/>
          <w:sz w:val="12"/>
          <w:szCs w:val="12"/>
          <w:lang w:eastAsia="zh-CN"/>
        </w:rPr>
      </w:pPr>
    </w:p>
    <w:p w14:paraId="0BDF576A" w14:textId="77777777" w:rsidR="00B87B1F" w:rsidRPr="00112576" w:rsidRDefault="00B87B1F" w:rsidP="00B87B1F">
      <w:pPr>
        <w:pStyle w:val="ListParagraph"/>
        <w:numPr>
          <w:ilvl w:val="2"/>
          <w:numId w:val="1"/>
        </w:numPr>
        <w:jc w:val="both"/>
        <w:rPr>
          <w:sz w:val="22"/>
          <w:szCs w:val="22"/>
          <w14:ligatures w14:val="none"/>
        </w:rPr>
      </w:pPr>
      <w:r w:rsidRPr="00112576">
        <w:rPr>
          <w:rFonts w:eastAsia="SimSun"/>
          <w:b/>
          <w:sz w:val="22"/>
          <w:szCs w:val="22"/>
          <w:lang w:eastAsia="zh-CN"/>
        </w:rPr>
        <w:t>Employee v. D.C. Department of Transportation, OEA Matter No. 1601-0021-25 –</w:t>
      </w:r>
      <w:r w:rsidRPr="00112576">
        <w:rPr>
          <w:sz w:val="22"/>
          <w:szCs w:val="22"/>
          <w14:ligatures w14:val="none"/>
        </w:rPr>
        <w:t xml:space="preserve"> Employee worked as a Traffic Control Officer (“TCO”) with the D.C. Department of Transportation (“Agency”). On December 31, 2024, Agency issued a final notice of separation informing Employee that he would be removed from his position pursuant to District Personnel Manual (“DPM”) §§ 1605.4(a) and 1607.2(a)(15) for conduct prejudicial to the District of Columbia government: assaulting, fighting, threatening, attempting to inflict, or inflicting bodily harm while on District property or while on duty. Additionally, Employee was charged with DPM § 1607.2(a)(16) for conduct prejudicial to the District of Columbia government: use of abusive, offensive, unprofessional, distracting, or otherwise unacceptable language, gestures, or other conduct; quarreling; creating a disturbance or disruption; or inappropriate horseplay. According to Agency, on May 9, 2024, it was made aware of explicit and implied threats of bodily harm by Employee to his colleagues about Supervisory TCO Sylver. As a result of its investigation, </w:t>
      </w:r>
      <w:r w:rsidRPr="00112576">
        <w:rPr>
          <w:sz w:val="22"/>
          <w:szCs w:val="22"/>
          <w14:ligatures w14:val="none"/>
        </w:rPr>
        <w:lastRenderedPageBreak/>
        <w:t xml:space="preserve">Agency determined that Employee posed a threat of physical harm to Sylver, which was aggravated by his use of abusive and offensive language and implied threats. Consequently, Employee was terminated from his position effective January 3, 2025.  </w:t>
      </w:r>
    </w:p>
    <w:p w14:paraId="122937F4" w14:textId="77777777" w:rsidR="00B87B1F" w:rsidRPr="00112576" w:rsidRDefault="00B87B1F" w:rsidP="00B87B1F">
      <w:pPr>
        <w:contextualSpacing/>
        <w:jc w:val="both"/>
        <w:rPr>
          <w:sz w:val="12"/>
          <w:szCs w:val="12"/>
          <w14:ligatures w14:val="none"/>
        </w:rPr>
      </w:pPr>
    </w:p>
    <w:p w14:paraId="52545931" w14:textId="77777777" w:rsidR="00B87B1F" w:rsidRPr="000866FA" w:rsidRDefault="00B87B1F" w:rsidP="00B87B1F">
      <w:pPr>
        <w:ind w:left="1620"/>
        <w:contextualSpacing/>
        <w:jc w:val="both"/>
        <w:rPr>
          <w:sz w:val="22"/>
          <w:szCs w:val="22"/>
          <w14:ligatures w14:val="none"/>
        </w:rPr>
      </w:pPr>
      <w:r w:rsidRPr="000866FA">
        <w:rPr>
          <w:sz w:val="22"/>
          <w:szCs w:val="22"/>
          <w14:ligatures w14:val="none"/>
        </w:rPr>
        <w:t>Employee filed a Petition for Appeal with the Office of Employee Appeals on January 27, 2025.  He argued that he was falsely accused of threatening his supervisor and sought to have the termination action rescinded. As a result, Employee requested that he be reinstated to his position with backpay.</w:t>
      </w:r>
    </w:p>
    <w:p w14:paraId="08EE8692" w14:textId="77777777" w:rsidR="00B87B1F" w:rsidRPr="00112576" w:rsidRDefault="00B87B1F" w:rsidP="00B87B1F">
      <w:pPr>
        <w:contextualSpacing/>
        <w:jc w:val="both"/>
        <w:rPr>
          <w:sz w:val="12"/>
          <w:szCs w:val="12"/>
          <w14:ligatures w14:val="none"/>
        </w:rPr>
      </w:pPr>
    </w:p>
    <w:p w14:paraId="41AD3361" w14:textId="77777777" w:rsidR="00B87B1F" w:rsidRPr="000866FA" w:rsidRDefault="00B87B1F" w:rsidP="00B87B1F">
      <w:pPr>
        <w:ind w:left="1620"/>
        <w:contextualSpacing/>
        <w:jc w:val="both"/>
        <w:rPr>
          <w:sz w:val="22"/>
          <w:szCs w:val="22"/>
          <w14:ligatures w14:val="none"/>
        </w:rPr>
      </w:pPr>
      <w:r w:rsidRPr="000866FA">
        <w:rPr>
          <w:sz w:val="22"/>
          <w:szCs w:val="22"/>
          <w14:ligatures w14:val="none"/>
        </w:rPr>
        <w:t xml:space="preserve">On February 28, 2025, Agency filed its Answer to the Petition for Appeal. It argued that its investigation found that Employee made the threats outlined in its proposed and final notices to Employee. Additionally, Agency noted that it obtained a recording of Employee making threatening statements. It also asserted that it properly considered the </w:t>
      </w:r>
      <w:r w:rsidRPr="000866FA">
        <w:rPr>
          <w:i/>
          <w:iCs/>
          <w:sz w:val="22"/>
          <w:szCs w:val="22"/>
          <w14:ligatures w14:val="none"/>
        </w:rPr>
        <w:t>Douglas</w:t>
      </w:r>
      <w:r w:rsidRPr="000866FA">
        <w:rPr>
          <w:sz w:val="22"/>
          <w:szCs w:val="22"/>
          <w14:ligatures w14:val="none"/>
        </w:rPr>
        <w:t xml:space="preserve"> factors before reaching its decision to terminate Employee. </w:t>
      </w:r>
      <w:r>
        <w:rPr>
          <w:sz w:val="22"/>
          <w:szCs w:val="22"/>
          <w14:ligatures w14:val="none"/>
        </w:rPr>
        <w:t>A</w:t>
      </w:r>
      <w:r w:rsidRPr="000866FA">
        <w:rPr>
          <w:sz w:val="22"/>
          <w:szCs w:val="22"/>
          <w14:ligatures w14:val="none"/>
        </w:rPr>
        <w:t>gency contended that Employee’s conduct violated its zero-tolerance policy on workplace violence. Therefore, it requested that Employee’s removal action be upheld.</w:t>
      </w:r>
    </w:p>
    <w:p w14:paraId="2C98EDC0" w14:textId="77777777" w:rsidR="00B87B1F" w:rsidRPr="00112576" w:rsidRDefault="00B87B1F" w:rsidP="00B87B1F">
      <w:pPr>
        <w:contextualSpacing/>
        <w:jc w:val="both"/>
        <w:rPr>
          <w:sz w:val="12"/>
          <w:szCs w:val="12"/>
          <w14:ligatures w14:val="none"/>
        </w:rPr>
      </w:pPr>
    </w:p>
    <w:p w14:paraId="01E5AC9B" w14:textId="77777777" w:rsidR="00B87B1F" w:rsidRPr="000866FA" w:rsidRDefault="00B87B1F" w:rsidP="00B87B1F">
      <w:pPr>
        <w:ind w:left="1620"/>
        <w:contextualSpacing/>
        <w:jc w:val="both"/>
        <w:rPr>
          <w:sz w:val="22"/>
          <w:szCs w:val="22"/>
          <w14:ligatures w14:val="none"/>
        </w:rPr>
      </w:pPr>
      <w:r w:rsidRPr="000866FA">
        <w:rPr>
          <w:sz w:val="22"/>
          <w:szCs w:val="22"/>
          <w14:ligatures w14:val="none"/>
        </w:rPr>
        <w:t xml:space="preserve">On May 28, 2025, the OEA Administrative Judge (“AJ”) requested that the parties submit briefs on 1) whether Agency complied with DPM § 1602.3, which provided that a corrective or adverse action shall be commenced no more than ninety (90) business days after the agency or personnel authority knew or should have known of the performance or conduct supporting the action, and 2) whether Agency complied with the service requirements of DPM §§ 1618.6 and 1618.8 when it issued the notice of proposed action. In its brief, Agency argued that Employee was placed on administrative leave on May 9, 2024. It explained that ninety business days from May 9, 2024, is September 18, 2024. Agency asserted that its advance written notice of proposed removal was delivered to Employee’s apartment’s front desk, reception, or mail room on August 29, 2024. Thus, according to Agency, it acted fifteen business days before the deadline. Agency, therefore, maintained that it timely provided Employee with the required notice of proposed removal before the ninety-business day deadline.  </w:t>
      </w:r>
    </w:p>
    <w:p w14:paraId="631B5F38" w14:textId="77777777" w:rsidR="00B87B1F" w:rsidRPr="00112576" w:rsidRDefault="00B87B1F" w:rsidP="00B87B1F">
      <w:pPr>
        <w:contextualSpacing/>
        <w:jc w:val="both"/>
        <w:rPr>
          <w:sz w:val="12"/>
          <w:szCs w:val="12"/>
          <w14:ligatures w14:val="none"/>
        </w:rPr>
      </w:pPr>
    </w:p>
    <w:p w14:paraId="2C20C7EE" w14:textId="77777777" w:rsidR="00B87B1F" w:rsidRPr="000866FA" w:rsidRDefault="00B87B1F" w:rsidP="00B87B1F">
      <w:pPr>
        <w:ind w:left="1620"/>
        <w:contextualSpacing/>
        <w:jc w:val="both"/>
        <w:rPr>
          <w:sz w:val="22"/>
          <w:szCs w:val="22"/>
          <w14:ligatures w14:val="none"/>
        </w:rPr>
      </w:pPr>
      <w:r w:rsidRPr="000866FA">
        <w:rPr>
          <w:sz w:val="22"/>
          <w:szCs w:val="22"/>
          <w14:ligatures w14:val="none"/>
        </w:rPr>
        <w:t xml:space="preserve">As for the mail service requirements outlined in DPM §§ 1618.6 and 1618.8, Agency argued that the United States Postal Service (“USPS”) tracking information reflected that the proposed notice was delivered to the front desk, reception, or mail room of Employee’s apartment complex. According to Agency, an individual working at the front desk, reception, or mail room is presumed to have an obligation to relay mail to residents. Although Agency acknowledged that Employee’s address on the proposed notice was incorrect by one digit, it asserted that the USPS tracking information confirmed that the notice was delivered on August 29, 2024, and it did not receive any returned mail. Consequently, Agency maintained that the removal action was appropriate and that it fully complied with the applicable DPM provisions in its issuance of the notice of proposed removal. </w:t>
      </w:r>
    </w:p>
    <w:p w14:paraId="00A2C51D" w14:textId="77777777" w:rsidR="00B87B1F" w:rsidRPr="00112576" w:rsidRDefault="00B87B1F" w:rsidP="00B87B1F">
      <w:pPr>
        <w:contextualSpacing/>
        <w:jc w:val="both"/>
        <w:rPr>
          <w:sz w:val="12"/>
          <w:szCs w:val="12"/>
          <w14:ligatures w14:val="none"/>
        </w:rPr>
      </w:pPr>
    </w:p>
    <w:p w14:paraId="7F70A03B" w14:textId="77777777" w:rsidR="00B87B1F" w:rsidRPr="000866FA" w:rsidRDefault="00B87B1F" w:rsidP="00B87B1F">
      <w:pPr>
        <w:ind w:left="1620"/>
        <w:contextualSpacing/>
        <w:jc w:val="both"/>
        <w:rPr>
          <w:sz w:val="22"/>
          <w:szCs w:val="22"/>
          <w14:ligatures w14:val="none"/>
        </w:rPr>
      </w:pPr>
      <w:r w:rsidRPr="000866FA">
        <w:rPr>
          <w:sz w:val="22"/>
          <w:szCs w:val="22"/>
          <w14:ligatures w14:val="none"/>
        </w:rPr>
        <w:t xml:space="preserve">In response, Employee contended that his termination was taken without cause and violated the ninety-business day rule. Specifically, he asserted that he received two proposals at the same time – one dated August 27, 2024, and the other dated October 1, 2024. Employee opined that Agency’s notice was beyond the statutory ninety-business day deadline. Therefore, he requested that Agency’s action be reversed and that he be reinstated with backpay and benefits. </w:t>
      </w:r>
    </w:p>
    <w:p w14:paraId="1EBFE834" w14:textId="77777777" w:rsidR="00B87B1F" w:rsidRPr="00112576" w:rsidRDefault="00B87B1F" w:rsidP="00B87B1F">
      <w:pPr>
        <w:contextualSpacing/>
        <w:jc w:val="both"/>
        <w:rPr>
          <w:sz w:val="12"/>
          <w:szCs w:val="12"/>
          <w14:ligatures w14:val="none"/>
        </w:rPr>
      </w:pPr>
    </w:p>
    <w:p w14:paraId="433BE024" w14:textId="77777777" w:rsidR="00B87B1F" w:rsidRPr="000866FA" w:rsidRDefault="00B87B1F" w:rsidP="00B87B1F">
      <w:pPr>
        <w:ind w:left="1620"/>
        <w:contextualSpacing/>
        <w:jc w:val="both"/>
        <w:rPr>
          <w:sz w:val="22"/>
          <w:szCs w:val="22"/>
          <w14:ligatures w14:val="none"/>
        </w:rPr>
      </w:pPr>
      <w:r w:rsidRPr="000866FA">
        <w:rPr>
          <w:sz w:val="22"/>
          <w:szCs w:val="22"/>
          <w14:ligatures w14:val="none"/>
        </w:rPr>
        <w:t xml:space="preserve">Before issuing her Initial Decision, the AJ held an evidentiary on October 29, 2025. After considering the testimonies and documentary evidence provided during the hearing, she determined that Agency failed to commence the adverse action within ninety business days of the time which it had </w:t>
      </w:r>
      <w:proofErr w:type="gramStart"/>
      <w:r w:rsidRPr="000866FA">
        <w:rPr>
          <w:sz w:val="22"/>
          <w:szCs w:val="22"/>
          <w14:ligatures w14:val="none"/>
        </w:rPr>
        <w:t>notice</w:t>
      </w:r>
      <w:proofErr w:type="gramEnd"/>
      <w:r w:rsidRPr="000866FA">
        <w:rPr>
          <w:sz w:val="22"/>
          <w:szCs w:val="22"/>
          <w14:ligatures w14:val="none"/>
        </w:rPr>
        <w:t xml:space="preserve"> of Employee’s adverse action. The AJ explained that for purposes of the ninety-business day rule, an adverse action commences when an employee receives the notice of proposed removal. Because both parties agreed that Agency became aware of </w:t>
      </w:r>
      <w:r w:rsidRPr="000866FA">
        <w:rPr>
          <w:sz w:val="22"/>
          <w:szCs w:val="22"/>
          <w14:ligatures w14:val="none"/>
        </w:rPr>
        <w:lastRenderedPageBreak/>
        <w:t>Employee’s conduct on May 9, 2024, the AJ concluded that the ninety-business day period began on that date.  Additionally, she held that pursuant to DPM § 1618.6 and 1618.8, service is effective only upon actual delivery of the notice of proposed removal to Employee. She found that Employee did not receive the notice until October 4, 2024, which was one hundred and two (102) business days from the May 9, 2024, and twelve (12) business days beyond the deadline pursuant to the ninety-business day rule. Moreover, she opined that Agency’s USPS tracking information and the accompanying USPS documents were insufficient to establish proper service. Thus, she determined that Agency failed to prove that Employee timely received its notice of proposed removal.</w:t>
      </w:r>
      <w:r>
        <w:rPr>
          <w:sz w:val="22"/>
          <w:szCs w:val="22"/>
          <w14:ligatures w14:val="none"/>
        </w:rPr>
        <w:t xml:space="preserve"> </w:t>
      </w:r>
      <w:r w:rsidRPr="000866FA">
        <w:rPr>
          <w:sz w:val="22"/>
          <w:szCs w:val="22"/>
          <w14:ligatures w14:val="none"/>
        </w:rPr>
        <w:t>Accordingly, she ordered that Agency’s removal action be reversed and that Employee be reinstated to his position with backpay and benefits.</w:t>
      </w:r>
    </w:p>
    <w:p w14:paraId="6B12A954" w14:textId="77777777" w:rsidR="00B87B1F" w:rsidRPr="00112576" w:rsidRDefault="00B87B1F" w:rsidP="00B87B1F">
      <w:pPr>
        <w:contextualSpacing/>
        <w:jc w:val="both"/>
        <w:rPr>
          <w:sz w:val="12"/>
          <w:szCs w:val="12"/>
          <w14:ligatures w14:val="none"/>
        </w:rPr>
      </w:pPr>
    </w:p>
    <w:p w14:paraId="45F6FD11" w14:textId="77777777" w:rsidR="00B87B1F" w:rsidRDefault="00B87B1F" w:rsidP="00B87B1F">
      <w:pPr>
        <w:ind w:left="1620"/>
        <w:contextualSpacing/>
        <w:jc w:val="both"/>
        <w:rPr>
          <w:sz w:val="22"/>
          <w:szCs w:val="22"/>
          <w14:ligatures w14:val="none"/>
        </w:rPr>
      </w:pPr>
      <w:r w:rsidRPr="000866FA">
        <w:rPr>
          <w:sz w:val="22"/>
          <w:szCs w:val="22"/>
          <w14:ligatures w14:val="none"/>
        </w:rPr>
        <w:t>On April 27, 2026, Agency filed a Petition for Review. It argues that the Initial Decision was based on an erroneous interpretation of statute, regulation, or policy, and the Initial Decision did not address all the issues of law and fact properly raised on appeal. Agency contends that it mailed the notice of proposed action on May 9, 2024, to Employee, seventy-five business days after it became aware of the cause for its action. It opines that the AJ erroneously ruled that the USPS tracking information did not meet the service requirements. According to Agency, it produced a certificate of service, certified mail receipt, and USPS tracking record to show that the notice was delivered to Employee’s building or concierge on August 29, 2024. Therefore, it requests that the Board grant its petition and reverse the Initial Decision.</w:t>
      </w:r>
    </w:p>
    <w:p w14:paraId="2F575144" w14:textId="77777777" w:rsidR="00B87B1F" w:rsidRPr="00112576" w:rsidRDefault="00B87B1F" w:rsidP="00B87B1F">
      <w:pPr>
        <w:contextualSpacing/>
        <w:jc w:val="both"/>
        <w:rPr>
          <w:sz w:val="12"/>
          <w:szCs w:val="12"/>
          <w14:ligatures w14:val="none"/>
        </w:rPr>
      </w:pPr>
    </w:p>
    <w:p w14:paraId="43D55A3F" w14:textId="77777777" w:rsidR="00B87B1F" w:rsidRPr="000866FA" w:rsidRDefault="00B87B1F" w:rsidP="00B87B1F">
      <w:pPr>
        <w:ind w:left="1620"/>
        <w:contextualSpacing/>
        <w:jc w:val="both"/>
        <w:rPr>
          <w:sz w:val="22"/>
          <w:szCs w:val="22"/>
          <w14:ligatures w14:val="none"/>
        </w:rPr>
      </w:pPr>
      <w:r w:rsidRPr="000866FA">
        <w:rPr>
          <w:sz w:val="22"/>
          <w:szCs w:val="22"/>
          <w14:ligatures w14:val="none"/>
        </w:rPr>
        <w:t>Employee filed his Response to Agency’s Petition for Review on July 2, 2026. In his response, he reiterates many of the same arguments made throughout the appeal. Employee contends that Agency failed to comply with the mandatory ninety-business day requirements to mail its notice of proposed removal. He argues that Agency mailed the proposed notice to an incorrect address, resulting in delayed and improper service. As a result, Employee requests that Agency’s Petition for Review be denied.</w:t>
      </w:r>
    </w:p>
    <w:p w14:paraId="6AF3F3BB" w14:textId="77777777" w:rsidR="00B87B1F" w:rsidRPr="008D1E2C" w:rsidRDefault="00B87B1F" w:rsidP="00B87B1F">
      <w:pPr>
        <w:rPr>
          <w:sz w:val="12"/>
          <w:szCs w:val="12"/>
        </w:rPr>
      </w:pPr>
    </w:p>
    <w:p w14:paraId="2BDA4CC3" w14:textId="77777777" w:rsidR="00B87B1F" w:rsidRPr="000D2DC2" w:rsidRDefault="00B87B1F" w:rsidP="00B87B1F">
      <w:pPr>
        <w:pStyle w:val="ListParagraph"/>
        <w:numPr>
          <w:ilvl w:val="2"/>
          <w:numId w:val="1"/>
        </w:numPr>
        <w:jc w:val="both"/>
        <w:rPr>
          <w:sz w:val="22"/>
          <w:szCs w:val="22"/>
        </w:rPr>
      </w:pPr>
      <w:r w:rsidRPr="000D2DC2">
        <w:rPr>
          <w:rFonts w:eastAsia="SimSun"/>
          <w:b/>
          <w:sz w:val="22"/>
          <w:szCs w:val="22"/>
          <w:lang w:eastAsia="zh-CN"/>
        </w:rPr>
        <w:t>Employee v. D.C. Department of Transportation, OEA Matter No. 1601-0049-24—</w:t>
      </w:r>
      <w:r w:rsidRPr="000D2DC2">
        <w:rPr>
          <w:sz w:val="22"/>
          <w:szCs w:val="22"/>
        </w:rPr>
        <w:t xml:space="preserve"> Employee worked as a Transportation Planner with the D.C. Department of Transportation (“Agency or “DDOT”). On November 1, 2023, Agency issued an Advance Notice of Proposed Removal charging Employee with violation of District Personnel Manual (“DPM”) § 1605.4(d) (failure or refusal to follow instructions) and § 1607.2(d)(2) (deliberate or malicious refusal to comply with rules, regulations, written procedures, or proper supervisory instructions). The cause of the proposed action was based on Employee’s refusal to accept their direct supervisor’s decision that they could not attend a conference (the “conference”) on Light Electric Vehicles (“e-bikes”) as a representative of DDOT. According to Agency, rather than accept their supervisor’s refusal, Employee went outside of their chain of command and asked Agency’s then-acting Deputy Mayor for Operations and Infrastructure (“DMOI”) and Agency’s then-acting Chief Operations Officer to seek alternative approval to attend the conference. The effective date of Employee’s termination was April 9, 2024.</w:t>
      </w:r>
    </w:p>
    <w:p w14:paraId="70BFAA2E" w14:textId="77777777" w:rsidR="00B87B1F" w:rsidRPr="009F37FA" w:rsidRDefault="00B87B1F" w:rsidP="00B87B1F">
      <w:pPr>
        <w:contextualSpacing/>
        <w:jc w:val="both"/>
        <w:rPr>
          <w:sz w:val="12"/>
          <w:szCs w:val="12"/>
        </w:rPr>
      </w:pPr>
    </w:p>
    <w:p w14:paraId="03F0A2A5" w14:textId="77777777" w:rsidR="00B87B1F" w:rsidRPr="00D43E39" w:rsidRDefault="00B87B1F" w:rsidP="00B87B1F">
      <w:pPr>
        <w:ind w:left="1620"/>
        <w:contextualSpacing/>
        <w:jc w:val="both"/>
        <w:rPr>
          <w:sz w:val="22"/>
          <w:szCs w:val="22"/>
        </w:rPr>
      </w:pPr>
      <w:r w:rsidRPr="00D43E39">
        <w:rPr>
          <w:sz w:val="22"/>
          <w:szCs w:val="22"/>
        </w:rPr>
        <w:t xml:space="preserve">Employee filed a Petition for Appeal with the Office of Employee </w:t>
      </w:r>
      <w:proofErr w:type="gramStart"/>
      <w:r w:rsidRPr="00D43E39">
        <w:rPr>
          <w:sz w:val="22"/>
          <w:szCs w:val="22"/>
        </w:rPr>
        <w:t>Appeals (“OEA”)</w:t>
      </w:r>
      <w:proofErr w:type="gramEnd"/>
      <w:r w:rsidRPr="00D43E39">
        <w:rPr>
          <w:sz w:val="22"/>
          <w:szCs w:val="22"/>
        </w:rPr>
        <w:t xml:space="preserve"> on May 8, 2024. They argued that Agency failed to utilize progressive discipline and failed to consider mitigating circumstances surrounding the removal action. Employee also submitted that Agency did not properly consider their effective work performance. Additionally, they asserted that the request to attend the conference did not constitute a deliberate or malicious failure to follow instructions. As a result, Employee requested to be reinstated to a different division with back pay and lost overtime pay.</w:t>
      </w:r>
    </w:p>
    <w:p w14:paraId="419C5834" w14:textId="77777777" w:rsidR="00B87B1F" w:rsidRPr="000D2DC2" w:rsidRDefault="00B87B1F" w:rsidP="00B87B1F">
      <w:pPr>
        <w:contextualSpacing/>
        <w:jc w:val="both"/>
        <w:rPr>
          <w:sz w:val="12"/>
          <w:szCs w:val="12"/>
        </w:rPr>
      </w:pPr>
    </w:p>
    <w:p w14:paraId="25F08893" w14:textId="77777777" w:rsidR="00B87B1F" w:rsidRPr="00D43E39" w:rsidRDefault="00B87B1F" w:rsidP="00B87B1F">
      <w:pPr>
        <w:ind w:left="1620"/>
        <w:contextualSpacing/>
        <w:jc w:val="both"/>
        <w:rPr>
          <w:sz w:val="22"/>
          <w:szCs w:val="22"/>
        </w:rPr>
      </w:pPr>
      <w:r w:rsidRPr="00D43E39">
        <w:rPr>
          <w:sz w:val="22"/>
          <w:szCs w:val="22"/>
        </w:rPr>
        <w:t xml:space="preserve">In response, Agency contended that Employee’s termination was taken for cause. It averred that termination was proper under the Table of Illustrative Actions and the </w:t>
      </w:r>
      <w:r w:rsidRPr="00D43E39">
        <w:rPr>
          <w:i/>
          <w:iCs/>
          <w:sz w:val="22"/>
          <w:szCs w:val="22"/>
        </w:rPr>
        <w:t>Douglas</w:t>
      </w:r>
      <w:r w:rsidRPr="00D43E39">
        <w:rPr>
          <w:sz w:val="22"/>
          <w:szCs w:val="22"/>
        </w:rPr>
        <w:t xml:space="preserve"> factors. Agency noted that Employee previously received verbal counseling in April of 2022, as well as a </w:t>
      </w:r>
      <w:r w:rsidRPr="00D43E39">
        <w:rPr>
          <w:sz w:val="22"/>
          <w:szCs w:val="22"/>
        </w:rPr>
        <w:lastRenderedPageBreak/>
        <w:t xml:space="preserve">corrective suspension in October of 2022. As such, Agency </w:t>
      </w:r>
      <w:r>
        <w:rPr>
          <w:sz w:val="22"/>
          <w:szCs w:val="22"/>
        </w:rPr>
        <w:t>opined that the removal action was warranted</w:t>
      </w:r>
      <w:r w:rsidRPr="00D43E39">
        <w:rPr>
          <w:sz w:val="22"/>
          <w:szCs w:val="22"/>
        </w:rPr>
        <w:t>.</w:t>
      </w:r>
    </w:p>
    <w:p w14:paraId="17B44666" w14:textId="77777777" w:rsidR="00B87B1F" w:rsidRPr="000D2DC2" w:rsidRDefault="00B87B1F" w:rsidP="00B87B1F">
      <w:pPr>
        <w:contextualSpacing/>
        <w:jc w:val="both"/>
        <w:rPr>
          <w:sz w:val="12"/>
          <w:szCs w:val="12"/>
        </w:rPr>
      </w:pPr>
    </w:p>
    <w:p w14:paraId="79FD661B" w14:textId="77777777" w:rsidR="00B87B1F" w:rsidRPr="00D43E39" w:rsidRDefault="00B87B1F" w:rsidP="00B87B1F">
      <w:pPr>
        <w:ind w:left="1620"/>
        <w:contextualSpacing/>
        <w:jc w:val="both"/>
        <w:rPr>
          <w:sz w:val="22"/>
          <w:szCs w:val="22"/>
        </w:rPr>
      </w:pPr>
      <w:r w:rsidRPr="00D43E39">
        <w:rPr>
          <w:sz w:val="22"/>
          <w:szCs w:val="22"/>
        </w:rPr>
        <w:t xml:space="preserve">This matter was first assigned to OEA Administrative Judge (“AJ”) Hochhauser, who left the employ of OEA in June of 2025. The matter was reassigned to a new AJ in June of 2025. On July 16, 2025, the AJ issued a post-status conference order requiring the parties to submit briefs addressing whether Agency had cause for the termination action; whether Agency followed all applicable statutes, regulations, and laws; and whether removal was the appropriate penalty. </w:t>
      </w:r>
    </w:p>
    <w:p w14:paraId="09431CB6" w14:textId="77777777" w:rsidR="00B87B1F" w:rsidRPr="000D2DC2" w:rsidRDefault="00B87B1F" w:rsidP="00B87B1F">
      <w:pPr>
        <w:contextualSpacing/>
        <w:jc w:val="both"/>
        <w:rPr>
          <w:sz w:val="12"/>
          <w:szCs w:val="12"/>
        </w:rPr>
      </w:pPr>
    </w:p>
    <w:p w14:paraId="6EB1322E" w14:textId="5D90F360" w:rsidR="00B87B1F" w:rsidRPr="00D43E39" w:rsidRDefault="00B87B1F" w:rsidP="00B87B1F">
      <w:pPr>
        <w:ind w:left="1620"/>
        <w:contextualSpacing/>
        <w:jc w:val="both"/>
        <w:rPr>
          <w:sz w:val="22"/>
          <w:szCs w:val="22"/>
        </w:rPr>
      </w:pPr>
      <w:r w:rsidRPr="00D43E39">
        <w:rPr>
          <w:sz w:val="22"/>
          <w:szCs w:val="22"/>
        </w:rPr>
        <w:t xml:space="preserve">In its brief, Agency asserted that Employee’s conduct violated DPM §§ 1605.4(d) and 1607.2(d)(2). Agency explained that on August 18, 2023, Employee emailed their supervisor, Joseph Kerwin (“Kerwin”), and Haley Pickett (“Pickett”), requesting clearance to participate as an Agency representative at the e-bike conference. It went on to provide that after the request was denied by Kerwin, Employee emailed three members from the Office for the Deputy Mayor for Operations and Infrastructure to request approval to attend the conference on behalf of DDOT. Additionally, Employee sent a Microsoft Teams message to Agency’s Chief Operations Officer Neelima Ghanta (“Ghanta”) to seek approval. Agency noted that Employee’s supervisor, Kerwin, was not included in these communications, and Employee admitted that Kerwin wasn’t “currently favorable” of the request. Consequently, it reasoned that Employee’s conduct constituted a deliberate and malicious refusal to comply with proper supervisory instructions. Finally, Agency reiterated that removal was consistent with the Table of Illustrative Actions and an assessment of the </w:t>
      </w:r>
      <w:r w:rsidRPr="00D43E39">
        <w:rPr>
          <w:i/>
          <w:iCs/>
          <w:sz w:val="22"/>
          <w:szCs w:val="22"/>
        </w:rPr>
        <w:t>Douglas</w:t>
      </w:r>
      <w:r w:rsidRPr="00D43E39">
        <w:rPr>
          <w:sz w:val="22"/>
          <w:szCs w:val="22"/>
        </w:rPr>
        <w:t xml:space="preserve"> factors. Consequently, it opined that Employee’s removal was proper.</w:t>
      </w:r>
    </w:p>
    <w:p w14:paraId="1EDEF42B" w14:textId="77777777" w:rsidR="00B87B1F" w:rsidRPr="000D2DC2" w:rsidRDefault="00B87B1F" w:rsidP="00B87B1F">
      <w:pPr>
        <w:contextualSpacing/>
        <w:jc w:val="both"/>
        <w:rPr>
          <w:sz w:val="12"/>
          <w:szCs w:val="12"/>
        </w:rPr>
      </w:pPr>
    </w:p>
    <w:p w14:paraId="6A49C6FF" w14:textId="77777777" w:rsidR="00B87B1F" w:rsidRPr="00D43E39" w:rsidRDefault="00B87B1F" w:rsidP="00B87B1F">
      <w:pPr>
        <w:ind w:left="1620"/>
        <w:contextualSpacing/>
        <w:jc w:val="both"/>
        <w:rPr>
          <w:sz w:val="22"/>
          <w:szCs w:val="22"/>
        </w:rPr>
      </w:pPr>
      <w:r w:rsidRPr="00D43E39">
        <w:rPr>
          <w:sz w:val="22"/>
          <w:szCs w:val="22"/>
        </w:rPr>
        <w:t>Employee argued that Agency lacked cause to terminate them. They claimed that Agency failed to follow the progressive discipline steps outlined in DPM §§ 1610.1 and 1610.2. Employee also posited that there was no clear supervisory instruction provided by Kerwin. They contended that Agency improperly relied on Employee’s past conduct in determining that the current conduct warranted termination, and they asserted that the penalty was excessive. Therefore, Employee requested that the adverse action be reversed.</w:t>
      </w:r>
    </w:p>
    <w:p w14:paraId="2B641960" w14:textId="77777777" w:rsidR="00B87B1F" w:rsidRPr="000D2DC2" w:rsidRDefault="00B87B1F" w:rsidP="00B87B1F">
      <w:pPr>
        <w:contextualSpacing/>
        <w:jc w:val="both"/>
        <w:rPr>
          <w:sz w:val="12"/>
          <w:szCs w:val="12"/>
        </w:rPr>
      </w:pPr>
      <w:r w:rsidRPr="00D43E39">
        <w:rPr>
          <w:sz w:val="22"/>
          <w:szCs w:val="22"/>
        </w:rPr>
        <w:t xml:space="preserve">     </w:t>
      </w:r>
    </w:p>
    <w:p w14:paraId="3A2E5191" w14:textId="1CD57FF8" w:rsidR="00B87B1F" w:rsidRPr="00D43E39" w:rsidRDefault="00B87B1F" w:rsidP="00B87B1F">
      <w:pPr>
        <w:ind w:left="1620"/>
        <w:contextualSpacing/>
        <w:jc w:val="both"/>
        <w:rPr>
          <w:sz w:val="22"/>
          <w:szCs w:val="22"/>
        </w:rPr>
      </w:pPr>
      <w:r w:rsidRPr="00D43E39">
        <w:rPr>
          <w:sz w:val="22"/>
          <w:szCs w:val="22"/>
        </w:rPr>
        <w:t xml:space="preserve">The AJ issued an Initial Decision on May 6, 2026, finding that Agency established cause to discipline Employee pursuant to DPM § 1605.4(d) and § 1607.2(d)(2). She ruled that Employee deliberately refused to comply with Kerwin’s instruction that Employee could not identify themself as a DDOT representative at the conference and instead shopped for an alternate approval of their request. The AJ also concluded that the conduct was intentional because Employee failed to inform Kerwin or Pickett of their efforts, and Employee acknowledged that their supervisors did not approve the request because e-bikes were not a part of the division’s mission. </w:t>
      </w:r>
    </w:p>
    <w:p w14:paraId="1DFBEB6A" w14:textId="77777777" w:rsidR="00B87B1F" w:rsidRPr="008E096D" w:rsidRDefault="00B87B1F" w:rsidP="00B87B1F">
      <w:pPr>
        <w:contextualSpacing/>
        <w:jc w:val="both"/>
        <w:rPr>
          <w:sz w:val="12"/>
          <w:szCs w:val="12"/>
        </w:rPr>
      </w:pPr>
      <w:r w:rsidRPr="00D43E39">
        <w:rPr>
          <w:sz w:val="22"/>
          <w:szCs w:val="22"/>
        </w:rPr>
        <w:t xml:space="preserve"> </w:t>
      </w:r>
    </w:p>
    <w:p w14:paraId="6482FCC6" w14:textId="77777777" w:rsidR="00B87B1F" w:rsidRDefault="00B87B1F" w:rsidP="00B87B1F">
      <w:pPr>
        <w:ind w:left="1620"/>
        <w:contextualSpacing/>
        <w:jc w:val="both"/>
        <w:rPr>
          <w:sz w:val="22"/>
          <w:szCs w:val="22"/>
        </w:rPr>
      </w:pPr>
      <w:r w:rsidRPr="00D43E39">
        <w:rPr>
          <w:sz w:val="22"/>
          <w:szCs w:val="22"/>
        </w:rPr>
        <w:t>Concerning progressive discipline, the AJ highlighted that Employee previously received verbal counseling in April of 2022, as well as a corrective suspension in October of 2022. As a result, she held that Agency properly considered past discipline in assessing the penalty in the instant matter. Lastly, the AJ provided that the Table of Illustrative Actions authorized termination as a permissible penalty for a first and second occurrence of a failure to follow instructions charge, even if Agency did not consider Employee’s past counseling or suspension. Accordingly, the AJ upheld Agency’s removal action.</w:t>
      </w:r>
    </w:p>
    <w:p w14:paraId="10282BC6" w14:textId="77777777" w:rsidR="00B87B1F" w:rsidRPr="000D2DC2" w:rsidRDefault="00B87B1F" w:rsidP="00B87B1F">
      <w:pPr>
        <w:contextualSpacing/>
        <w:jc w:val="both"/>
        <w:rPr>
          <w:sz w:val="12"/>
          <w:szCs w:val="12"/>
        </w:rPr>
      </w:pPr>
      <w:r w:rsidRPr="00D43E39">
        <w:rPr>
          <w:sz w:val="22"/>
          <w:szCs w:val="22"/>
        </w:rPr>
        <w:t xml:space="preserve">  </w:t>
      </w:r>
    </w:p>
    <w:p w14:paraId="7023F75C" w14:textId="77777777" w:rsidR="00B87B1F" w:rsidRPr="00D43E39" w:rsidRDefault="00B87B1F" w:rsidP="00B87B1F">
      <w:pPr>
        <w:ind w:left="1620"/>
        <w:jc w:val="both"/>
        <w:rPr>
          <w:sz w:val="22"/>
          <w:szCs w:val="22"/>
        </w:rPr>
      </w:pPr>
      <w:r w:rsidRPr="00D43E39">
        <w:rPr>
          <w:sz w:val="22"/>
          <w:szCs w:val="22"/>
        </w:rPr>
        <w:t xml:space="preserve">In Employee’s Petition for Review to the Board, they contend that the Initial Decision was based on an erroneous interpretation of DPM §§ 1605.4(d) and 1607.3(d)(2). They assert that the AJ failed to consider mitigating </w:t>
      </w:r>
      <w:r w:rsidRPr="00D43E39">
        <w:rPr>
          <w:i/>
          <w:iCs/>
          <w:sz w:val="22"/>
          <w:szCs w:val="22"/>
        </w:rPr>
        <w:t>Douglas</w:t>
      </w:r>
      <w:r w:rsidRPr="00D43E39">
        <w:rPr>
          <w:sz w:val="22"/>
          <w:szCs w:val="22"/>
        </w:rPr>
        <w:t xml:space="preserve"> factors. According to Employee, the Initial Decision also failed to address all material issues of law and fact properly raised on appeal. Lastly, they believe that an evidentiary hearing was warranted to resolve issues of clarity, intent, and instructions. Therefore, Employee asks that the Board grant their petition.</w:t>
      </w:r>
    </w:p>
    <w:p w14:paraId="2ED5799C" w14:textId="77777777" w:rsidR="00B87B1F" w:rsidRPr="000D2DC2" w:rsidRDefault="00B87B1F" w:rsidP="00B87B1F">
      <w:pPr>
        <w:widowControl/>
        <w:tabs>
          <w:tab w:val="num" w:pos="900"/>
        </w:tabs>
        <w:ind w:left="1620"/>
        <w:contextualSpacing/>
        <w:jc w:val="both"/>
        <w:rPr>
          <w:rFonts w:eastAsia="SimSun"/>
          <w:b/>
          <w:sz w:val="12"/>
          <w:szCs w:val="12"/>
          <w:lang w:eastAsia="zh-CN"/>
        </w:rPr>
      </w:pPr>
    </w:p>
    <w:p w14:paraId="4EA732CF" w14:textId="77777777" w:rsidR="00B87B1F" w:rsidRPr="00296734" w:rsidRDefault="00B87B1F" w:rsidP="00B87B1F">
      <w:pPr>
        <w:pStyle w:val="ListParagraph"/>
        <w:numPr>
          <w:ilvl w:val="2"/>
          <w:numId w:val="1"/>
        </w:numPr>
        <w:jc w:val="both"/>
        <w:rPr>
          <w:sz w:val="22"/>
          <w:szCs w:val="22"/>
        </w:rPr>
      </w:pPr>
      <w:r w:rsidRPr="00296734">
        <w:rPr>
          <w:rFonts w:eastAsia="SimSun"/>
          <w:b/>
          <w:sz w:val="22"/>
          <w:szCs w:val="22"/>
          <w:lang w:eastAsia="zh-CN"/>
        </w:rPr>
        <w:lastRenderedPageBreak/>
        <w:t>Employee v. D.C. Office of Unified Communications, OEA Matter No. 1601-0020-25</w:t>
      </w:r>
      <w:r>
        <w:rPr>
          <w:rFonts w:eastAsia="SimSun"/>
          <w:b/>
          <w:sz w:val="22"/>
          <w:szCs w:val="22"/>
          <w:lang w:eastAsia="zh-CN"/>
        </w:rPr>
        <w:t>—</w:t>
      </w:r>
      <w:r w:rsidRPr="00296734">
        <w:rPr>
          <w:sz w:val="22"/>
          <w:szCs w:val="22"/>
        </w:rPr>
        <w:t>Employee worked as an Electronics Engineer with the Office of Unified Communications (“Agency”). On October 22, 2024, Agency issued an Updated Advance Notice of Proposed Separation charging Employee with violation of Chapter 6-B, Section 1607(f)(3) of the D.C. Municipal Regulations (“DCMR”) (attended-related offenses) and § 1607.2(d)(2) (failure/refusal to follow instructions). The charges were based on Employee’s unauthorized absences from August 12, 2024, through August 17, 2024. A Hearing Officer conducted an administrative review of the charges and recommended the penalty of removal. Employee’s termination became effective on November 26, 2025.</w:t>
      </w:r>
    </w:p>
    <w:p w14:paraId="7F550091" w14:textId="77777777" w:rsidR="00B87B1F" w:rsidRPr="00296734" w:rsidRDefault="00B87B1F" w:rsidP="00B87B1F">
      <w:pPr>
        <w:contextualSpacing/>
        <w:jc w:val="both"/>
        <w:rPr>
          <w:sz w:val="12"/>
          <w:szCs w:val="12"/>
        </w:rPr>
      </w:pPr>
    </w:p>
    <w:p w14:paraId="7B03C4EA" w14:textId="77777777" w:rsidR="00B87B1F" w:rsidRPr="00296734" w:rsidRDefault="00B87B1F" w:rsidP="00B87B1F">
      <w:pPr>
        <w:ind w:left="1620"/>
        <w:contextualSpacing/>
        <w:jc w:val="both"/>
        <w:rPr>
          <w:sz w:val="22"/>
          <w:szCs w:val="22"/>
        </w:rPr>
      </w:pPr>
      <w:r w:rsidRPr="00296734">
        <w:rPr>
          <w:sz w:val="22"/>
          <w:szCs w:val="22"/>
        </w:rPr>
        <w:t>Employee filed a Petition for Appeal with the Office of Employee Appeals (“OEA”) on January 22, 2025. He argued that Agency’s termination action violated the District Personnel Manual (“DPM”); Agency conspired to remove him; and it improperly classified him as being Absent Without Leave (“AWOL”). Therefore, Employee opined that his removal was improper.</w:t>
      </w:r>
    </w:p>
    <w:p w14:paraId="5AA64A27" w14:textId="77777777" w:rsidR="00B87B1F" w:rsidRPr="00296734" w:rsidRDefault="00B87B1F" w:rsidP="00B87B1F">
      <w:pPr>
        <w:contextualSpacing/>
        <w:jc w:val="both"/>
        <w:rPr>
          <w:sz w:val="12"/>
          <w:szCs w:val="12"/>
        </w:rPr>
      </w:pPr>
    </w:p>
    <w:p w14:paraId="3877B1D4" w14:textId="77777777" w:rsidR="00B87B1F" w:rsidRPr="00296734" w:rsidRDefault="00B87B1F" w:rsidP="00B87B1F">
      <w:pPr>
        <w:ind w:left="1620"/>
        <w:contextualSpacing/>
        <w:jc w:val="both"/>
        <w:rPr>
          <w:sz w:val="22"/>
          <w:szCs w:val="22"/>
        </w:rPr>
      </w:pPr>
      <w:r w:rsidRPr="00296734">
        <w:rPr>
          <w:sz w:val="22"/>
          <w:szCs w:val="22"/>
        </w:rPr>
        <w:t xml:space="preserve">In response, Agency contended that Employee’s arguments were unfounded. It explained that Employee did not dispute that he was absent from work for five consecutive days, nor did he allege that management was properly notified before Employee took absence from work. Thus, Agency reasoned that the imposed discipline was warranted. Lastly, it submitted that all relevant </w:t>
      </w:r>
      <w:r w:rsidRPr="00296734">
        <w:rPr>
          <w:i/>
          <w:iCs/>
          <w:sz w:val="22"/>
          <w:szCs w:val="22"/>
        </w:rPr>
        <w:t>Douglas</w:t>
      </w:r>
      <w:r w:rsidRPr="00296734">
        <w:rPr>
          <w:sz w:val="22"/>
          <w:szCs w:val="22"/>
        </w:rPr>
        <w:t xml:space="preserve"> factors were considered. As a result, Agency requested that its termination action be upheld.</w:t>
      </w:r>
    </w:p>
    <w:p w14:paraId="62EDEEED" w14:textId="77777777" w:rsidR="00B87B1F" w:rsidRPr="00296734" w:rsidRDefault="00B87B1F" w:rsidP="00B87B1F">
      <w:pPr>
        <w:contextualSpacing/>
        <w:jc w:val="both"/>
        <w:rPr>
          <w:sz w:val="12"/>
          <w:szCs w:val="12"/>
        </w:rPr>
      </w:pPr>
    </w:p>
    <w:p w14:paraId="5CF3DCED" w14:textId="77777777" w:rsidR="00B87B1F" w:rsidRPr="00296734" w:rsidRDefault="00B87B1F" w:rsidP="00B87B1F">
      <w:pPr>
        <w:ind w:left="1620"/>
        <w:contextualSpacing/>
        <w:jc w:val="both"/>
        <w:rPr>
          <w:sz w:val="22"/>
          <w:szCs w:val="22"/>
        </w:rPr>
      </w:pPr>
      <w:r w:rsidRPr="00296734">
        <w:rPr>
          <w:sz w:val="22"/>
          <w:szCs w:val="22"/>
        </w:rPr>
        <w:t>On March 25, 2025, the OEA Administrative Judge (“AJ”) issued an order requesting that Employee address whether this Office has jurisdiction over his appeal because of his classification as a term employee and because the petition was filed more than thirty days after the effective date of the removal action. On June 24, 2025, a new AJ issued an order notifying the parties that the matter was reassigned to her. During a July 8, 2025, status conference, the AJ determined that the issue of jurisdiction remained outstanding and ordered response briefs.</w:t>
      </w:r>
    </w:p>
    <w:p w14:paraId="126F6058" w14:textId="77777777" w:rsidR="00B87B1F" w:rsidRPr="00296734" w:rsidRDefault="00B87B1F" w:rsidP="00B87B1F">
      <w:pPr>
        <w:contextualSpacing/>
        <w:jc w:val="both"/>
        <w:rPr>
          <w:sz w:val="12"/>
          <w:szCs w:val="12"/>
        </w:rPr>
      </w:pPr>
    </w:p>
    <w:p w14:paraId="55CFC731" w14:textId="77777777" w:rsidR="00B87B1F" w:rsidRPr="00296734" w:rsidRDefault="00B87B1F" w:rsidP="00B87B1F">
      <w:pPr>
        <w:ind w:left="1620"/>
        <w:contextualSpacing/>
        <w:jc w:val="both"/>
        <w:rPr>
          <w:sz w:val="22"/>
          <w:szCs w:val="22"/>
        </w:rPr>
      </w:pPr>
      <w:r w:rsidRPr="00296734">
        <w:rPr>
          <w:sz w:val="22"/>
          <w:szCs w:val="22"/>
        </w:rPr>
        <w:t>On November 19, 2025, the AJ issued an Order Regarding Jurisdiction and Order for Briefs. She held that Employee successfully completed his probationary period as required under DPM § 209.11. The AJ further determined that Employee’s termination was required to be conducted in accordance with Chapter 16 of the DPM, and Employee was afforded appeal rights to OEA. She also ruled that Employee’s untimely filing did not preclude review by this Office because it did not prejudice Agency. Consequently, she held that Employee satisfied his burden of proof on the issue of jurisdiction. As a result, the parties were ordered to submit briefs addressing whether Agency had cause for the instant adverse action and whether the penalty of termination was appropriate.</w:t>
      </w:r>
    </w:p>
    <w:p w14:paraId="1F19779F" w14:textId="77777777" w:rsidR="00B87B1F" w:rsidRPr="00296734" w:rsidRDefault="00B87B1F" w:rsidP="00B87B1F">
      <w:pPr>
        <w:contextualSpacing/>
        <w:jc w:val="both"/>
        <w:rPr>
          <w:sz w:val="12"/>
          <w:szCs w:val="12"/>
        </w:rPr>
      </w:pPr>
    </w:p>
    <w:p w14:paraId="2F0ED9EB" w14:textId="77777777" w:rsidR="00B87B1F" w:rsidRPr="00296734" w:rsidRDefault="00B87B1F" w:rsidP="00B87B1F">
      <w:pPr>
        <w:ind w:left="1620"/>
        <w:contextualSpacing/>
        <w:jc w:val="both"/>
        <w:rPr>
          <w:sz w:val="22"/>
          <w:szCs w:val="22"/>
        </w:rPr>
      </w:pPr>
      <w:r w:rsidRPr="00296734">
        <w:rPr>
          <w:sz w:val="22"/>
          <w:szCs w:val="22"/>
        </w:rPr>
        <w:t>On January 12, 2026, Agency filed a Motion to Dismiss notifying the AJ that it fully rescinded the Final Agency Decision on December 25, 2025. It provided that “[</w:t>
      </w:r>
      <w:proofErr w:type="spellStart"/>
      <w:r w:rsidRPr="00296734">
        <w:rPr>
          <w:sz w:val="22"/>
          <w:szCs w:val="22"/>
        </w:rPr>
        <w:t>i</w:t>
      </w:r>
      <w:proofErr w:type="spellEnd"/>
      <w:r w:rsidRPr="00296734">
        <w:rPr>
          <w:sz w:val="22"/>
          <w:szCs w:val="22"/>
        </w:rPr>
        <w:t>]</w:t>
      </w:r>
      <w:proofErr w:type="spellStart"/>
      <w:r w:rsidRPr="00296734">
        <w:rPr>
          <w:sz w:val="22"/>
          <w:szCs w:val="22"/>
        </w:rPr>
        <w:t>nstead</w:t>
      </w:r>
      <w:proofErr w:type="spellEnd"/>
      <w:r w:rsidRPr="00296734">
        <w:rPr>
          <w:sz w:val="22"/>
          <w:szCs w:val="22"/>
        </w:rPr>
        <w:t>, pursuant to his term appointment, Employee’s official last day of employment was December 1, 2024.” Agency indicated that it was in the process of remitting payment to Employee for back pay based on its rescission of the termination action. Consequently, it requested that Employee’s appeal be dismissed. Employee filed an Opposition to Agency’s Motion to Dismiss on February 6, 2026. He asserted that OEA’s jurisdiction was already established on November 25, 2025; Agency previously stipulated that his status as a term employee did not divest this Office of jurisdiction; and Agency was unilaterally attempting to delay the OEA proceedings through “unclear” tactics. Therefore, Employee asked that Agency’s motion be denied.</w:t>
      </w:r>
    </w:p>
    <w:p w14:paraId="67CAC6F7" w14:textId="77777777" w:rsidR="00B87B1F" w:rsidRPr="00296734" w:rsidRDefault="00B87B1F" w:rsidP="00B87B1F">
      <w:pPr>
        <w:contextualSpacing/>
        <w:jc w:val="both"/>
        <w:rPr>
          <w:sz w:val="12"/>
          <w:szCs w:val="12"/>
        </w:rPr>
      </w:pPr>
    </w:p>
    <w:p w14:paraId="693FCD37" w14:textId="459B1B9E" w:rsidR="00B87B1F" w:rsidRPr="00296734" w:rsidRDefault="00B87B1F" w:rsidP="00B87B1F">
      <w:pPr>
        <w:ind w:left="1620"/>
        <w:contextualSpacing/>
        <w:jc w:val="both"/>
        <w:rPr>
          <w:sz w:val="22"/>
          <w:szCs w:val="22"/>
        </w:rPr>
      </w:pPr>
      <w:r w:rsidRPr="00296734">
        <w:rPr>
          <w:sz w:val="22"/>
          <w:szCs w:val="22"/>
        </w:rPr>
        <w:t xml:space="preserve">An Initial Decision was issued on March 26, 2026. First, the AJ provided that OEA has consistently held that this Office’s jurisdiction is determined by the penalty imposed at the time the appeal is filed. She explained that once jurisdiction has attached, it cannot be divested by an </w:t>
      </w:r>
      <w:r w:rsidRPr="00296734">
        <w:rPr>
          <w:sz w:val="22"/>
          <w:szCs w:val="22"/>
        </w:rPr>
        <w:lastRenderedPageBreak/>
        <w:t xml:space="preserve">agency’s decision to unilaterally amend a penalty unless the employee consents to the divestiture or the agency completely rescinds the action being appealed. Next, the AJ reasoned that because Agency completely rescinded Employee’s termination action, OEA was prevented from exercising jurisdiction over his appeal. Additionally, she held that this Office lacks jurisdiction over employees with expired terms. Finally, the AJ concluded that there was no longer an adverse action at issue as defined under 6-B DCMR § 604.1 because Employee’s termination was fully rescinded by Agency. As a result, Employee’s appeal was dismissed for lack of jurisdiction. </w:t>
      </w:r>
    </w:p>
    <w:p w14:paraId="4FB0AEDD" w14:textId="77777777" w:rsidR="00B87B1F" w:rsidRPr="00296734" w:rsidRDefault="00B87B1F" w:rsidP="00B87B1F">
      <w:pPr>
        <w:contextualSpacing/>
        <w:jc w:val="both"/>
        <w:rPr>
          <w:sz w:val="12"/>
          <w:szCs w:val="12"/>
        </w:rPr>
      </w:pPr>
    </w:p>
    <w:p w14:paraId="4831461A" w14:textId="77777777" w:rsidR="00B87B1F" w:rsidRPr="00296734" w:rsidRDefault="00B87B1F" w:rsidP="00B87B1F">
      <w:pPr>
        <w:ind w:left="1620"/>
        <w:contextualSpacing/>
        <w:jc w:val="both"/>
        <w:rPr>
          <w:sz w:val="22"/>
          <w:szCs w:val="22"/>
        </w:rPr>
      </w:pPr>
      <w:r w:rsidRPr="00296734">
        <w:rPr>
          <w:sz w:val="22"/>
          <w:szCs w:val="22"/>
        </w:rPr>
        <w:t>Employee filed a Petition for Review with the OEA Board on May 15, 2026. He argues that the AJ made an error of law by misapplying the relevant D.C. personnel regulations. According to Employee, Agency rescinded the adverse action to avoid a hearing on his substantive arguments. He further asserts that Agency misrepresented his options for appealing the termination action and that new evidence is available that could not have been discovered prior to the closing of the record. Consequently, Employee asks the Board to reverse the Initial Decision and reinstate him with back pay and benefits.</w:t>
      </w:r>
    </w:p>
    <w:p w14:paraId="255B29EA" w14:textId="77777777" w:rsidR="00B87B1F" w:rsidRPr="00296734" w:rsidRDefault="00B87B1F" w:rsidP="00B87B1F">
      <w:pPr>
        <w:contextualSpacing/>
        <w:jc w:val="both"/>
        <w:rPr>
          <w:sz w:val="12"/>
          <w:szCs w:val="12"/>
        </w:rPr>
      </w:pPr>
    </w:p>
    <w:p w14:paraId="3563C103" w14:textId="77777777" w:rsidR="00B87B1F" w:rsidRPr="00296734" w:rsidRDefault="00B87B1F" w:rsidP="00B87B1F">
      <w:pPr>
        <w:ind w:left="1620"/>
        <w:contextualSpacing/>
        <w:jc w:val="both"/>
        <w:rPr>
          <w:sz w:val="22"/>
          <w:szCs w:val="22"/>
        </w:rPr>
      </w:pPr>
      <w:r w:rsidRPr="00296734">
        <w:rPr>
          <w:sz w:val="22"/>
          <w:szCs w:val="22"/>
        </w:rPr>
        <w:t>In response, Agency avers that the AJ properly concluded that OEA was divested of its jurisdiction over Employee’s appeal after his termination action was fully rescinded; Employee was reimbursed for all back pay owed as a result of his removal; and there is no longer a final decision at issue over which OEA retains jurisdiction. Additionally, it maintains that Employee’s petition was untimely under D.C. Code § 1-606.03 and 6-B DCMR § 604.2. Hence, Agency believes that the AJ erred by permitting Employee’s late filing under the doctrine of equitable tolling. Notwithstanding, it requests that his petition be denied.</w:t>
      </w:r>
    </w:p>
    <w:p w14:paraId="4EF0631C" w14:textId="77777777" w:rsidR="00B87B1F" w:rsidRPr="000D72D5" w:rsidRDefault="00B87B1F" w:rsidP="00B87B1F">
      <w:pPr>
        <w:pStyle w:val="ListParagraph"/>
        <w:ind w:left="1620"/>
        <w:jc w:val="both"/>
        <w:rPr>
          <w:sz w:val="12"/>
          <w:szCs w:val="12"/>
        </w:rPr>
      </w:pPr>
    </w:p>
    <w:p w14:paraId="77170CE6" w14:textId="77777777" w:rsidR="00B87B1F" w:rsidRDefault="00B87B1F" w:rsidP="00B87B1F">
      <w:pPr>
        <w:widowControl/>
        <w:numPr>
          <w:ilvl w:val="1"/>
          <w:numId w:val="1"/>
        </w:numPr>
        <w:tabs>
          <w:tab w:val="clear" w:pos="1440"/>
        </w:tabs>
        <w:ind w:left="-90" w:firstLine="360"/>
        <w:contextualSpacing/>
        <w:jc w:val="both"/>
        <w:rPr>
          <w:rFonts w:eastAsia="SimSun"/>
          <w:b/>
          <w:sz w:val="22"/>
          <w:szCs w:val="22"/>
          <w:lang w:eastAsia="zh-CN"/>
        </w:rPr>
      </w:pPr>
      <w:r w:rsidRPr="00B71DF0">
        <w:rPr>
          <w:rFonts w:eastAsia="SimSun"/>
          <w:b/>
          <w:sz w:val="22"/>
          <w:szCs w:val="22"/>
          <w:lang w:eastAsia="zh-CN"/>
        </w:rPr>
        <w:t>Public Comments on Petitions for Review</w:t>
      </w:r>
    </w:p>
    <w:p w14:paraId="4A56CAB1" w14:textId="77777777" w:rsidR="00B87B1F" w:rsidRPr="00296734" w:rsidRDefault="00B87B1F" w:rsidP="00B87B1F">
      <w:pPr>
        <w:widowControl/>
        <w:ind w:left="270"/>
        <w:contextualSpacing/>
        <w:jc w:val="both"/>
        <w:rPr>
          <w:rFonts w:eastAsia="SimSun"/>
          <w:b/>
          <w:sz w:val="12"/>
          <w:szCs w:val="12"/>
          <w:lang w:eastAsia="zh-CN"/>
        </w:rPr>
      </w:pPr>
    </w:p>
    <w:p w14:paraId="7521781A" w14:textId="77777777" w:rsidR="00A86F7B" w:rsidRPr="00A86F7B" w:rsidRDefault="00B87B1F" w:rsidP="00A86F7B">
      <w:pPr>
        <w:widowControl/>
        <w:numPr>
          <w:ilvl w:val="1"/>
          <w:numId w:val="1"/>
        </w:numPr>
        <w:tabs>
          <w:tab w:val="clear" w:pos="1440"/>
        </w:tabs>
        <w:ind w:left="-90" w:firstLine="360"/>
        <w:contextualSpacing/>
        <w:jc w:val="both"/>
        <w:rPr>
          <w:rFonts w:eastAsia="SimSun"/>
          <w:b/>
          <w:sz w:val="22"/>
          <w:szCs w:val="22"/>
          <w:lang w:eastAsia="zh-CN"/>
        </w:rPr>
      </w:pPr>
      <w:r w:rsidRPr="00F61428">
        <w:rPr>
          <w:rFonts w:eastAsia="SimSun"/>
          <w:b/>
          <w:sz w:val="22"/>
          <w:szCs w:val="22"/>
          <w:lang w:eastAsia="zh-CN"/>
        </w:rPr>
        <w:t xml:space="preserve">Deliberations </w:t>
      </w:r>
      <w:r w:rsidRPr="00F61428">
        <w:rPr>
          <w:rFonts w:eastAsia="SimSun"/>
          <w:sz w:val="22"/>
          <w:szCs w:val="22"/>
          <w:lang w:eastAsia="zh-CN"/>
        </w:rPr>
        <w:t xml:space="preserve">– This portion of the meeting will be closed to the public for deliberations </w:t>
      </w:r>
      <w:r w:rsidRPr="00A86F7B">
        <w:rPr>
          <w:rFonts w:eastAsia="SimSun"/>
          <w:sz w:val="22"/>
          <w:szCs w:val="22"/>
          <w:lang w:eastAsia="zh-CN"/>
        </w:rPr>
        <w:t xml:space="preserve">in accordance </w:t>
      </w:r>
      <w:r w:rsidR="00A86F7B">
        <w:rPr>
          <w:rFonts w:eastAsia="SimSun"/>
          <w:sz w:val="22"/>
          <w:szCs w:val="22"/>
          <w:lang w:eastAsia="zh-CN"/>
        </w:rPr>
        <w:t xml:space="preserve"> </w:t>
      </w:r>
    </w:p>
    <w:p w14:paraId="76D2BD2A" w14:textId="3F277E01" w:rsidR="00B87B1F" w:rsidRPr="00A86F7B" w:rsidRDefault="00A86F7B" w:rsidP="00A86F7B">
      <w:pPr>
        <w:widowControl/>
        <w:contextualSpacing/>
        <w:jc w:val="both"/>
        <w:rPr>
          <w:rFonts w:eastAsia="SimSun"/>
          <w:b/>
          <w:sz w:val="22"/>
          <w:szCs w:val="22"/>
          <w:lang w:eastAsia="zh-CN"/>
        </w:rPr>
      </w:pPr>
      <w:r>
        <w:rPr>
          <w:rFonts w:eastAsia="SimSun"/>
          <w:sz w:val="22"/>
          <w:szCs w:val="22"/>
          <w:lang w:eastAsia="zh-CN"/>
        </w:rPr>
        <w:t xml:space="preserve">             </w:t>
      </w:r>
      <w:r w:rsidR="00B87B1F" w:rsidRPr="00A86F7B">
        <w:rPr>
          <w:rFonts w:eastAsia="SimSun"/>
          <w:sz w:val="22"/>
          <w:szCs w:val="22"/>
          <w:lang w:eastAsia="zh-CN"/>
        </w:rPr>
        <w:t xml:space="preserve">with D.C. Code § 2-575(b)(13).  </w:t>
      </w:r>
    </w:p>
    <w:p w14:paraId="0DAFD9CA" w14:textId="77777777" w:rsidR="00B87B1F" w:rsidRPr="003945A9" w:rsidRDefault="00B87B1F" w:rsidP="00B87B1F">
      <w:pPr>
        <w:ind w:left="270" w:firstLine="450"/>
        <w:contextualSpacing/>
        <w:jc w:val="both"/>
        <w:rPr>
          <w:rFonts w:eastAsia="SimSun"/>
          <w:b/>
          <w:sz w:val="12"/>
          <w:szCs w:val="12"/>
          <w:lang w:eastAsia="zh-CN"/>
        </w:rPr>
      </w:pPr>
      <w:r w:rsidRPr="00F61428">
        <w:rPr>
          <w:rFonts w:eastAsia="SimSun"/>
          <w:sz w:val="22"/>
          <w:szCs w:val="22"/>
          <w:lang w:eastAsia="zh-CN"/>
        </w:rPr>
        <w:t xml:space="preserve">         </w:t>
      </w:r>
    </w:p>
    <w:p w14:paraId="2E42D2A8" w14:textId="77777777" w:rsidR="00B87B1F" w:rsidRPr="00F61428" w:rsidRDefault="00B87B1F" w:rsidP="00B87B1F">
      <w:pPr>
        <w:widowControl/>
        <w:numPr>
          <w:ilvl w:val="1"/>
          <w:numId w:val="1"/>
        </w:numPr>
        <w:tabs>
          <w:tab w:val="clear" w:pos="1440"/>
          <w:tab w:val="num" w:pos="720"/>
        </w:tabs>
        <w:ind w:left="1170" w:hanging="900"/>
        <w:contextualSpacing/>
        <w:jc w:val="both"/>
        <w:rPr>
          <w:rFonts w:eastAsia="SimSun"/>
          <w:b/>
          <w:sz w:val="22"/>
          <w:szCs w:val="22"/>
          <w:lang w:eastAsia="zh-CN"/>
        </w:rPr>
      </w:pPr>
      <w:r w:rsidRPr="00F61428">
        <w:rPr>
          <w:rFonts w:eastAsia="SimSun"/>
          <w:b/>
          <w:sz w:val="22"/>
          <w:szCs w:val="22"/>
          <w:lang w:eastAsia="zh-CN"/>
        </w:rPr>
        <w:t>Open Portion Resumes</w:t>
      </w:r>
    </w:p>
    <w:p w14:paraId="54983A51" w14:textId="77777777" w:rsidR="00B87B1F" w:rsidRPr="00F61428" w:rsidRDefault="00B87B1F" w:rsidP="00B87B1F">
      <w:pPr>
        <w:tabs>
          <w:tab w:val="num" w:pos="1080"/>
        </w:tabs>
        <w:ind w:left="1440" w:hanging="450"/>
        <w:contextualSpacing/>
        <w:jc w:val="both"/>
        <w:rPr>
          <w:rFonts w:eastAsia="SimSun"/>
          <w:b/>
          <w:sz w:val="12"/>
          <w:szCs w:val="12"/>
          <w:lang w:eastAsia="zh-CN"/>
        </w:rPr>
      </w:pPr>
    </w:p>
    <w:p w14:paraId="6F02139C" w14:textId="77777777" w:rsidR="00B87B1F" w:rsidRPr="00F61428" w:rsidRDefault="00B87B1F" w:rsidP="00B87B1F">
      <w:pPr>
        <w:widowControl/>
        <w:numPr>
          <w:ilvl w:val="1"/>
          <w:numId w:val="1"/>
        </w:numPr>
        <w:tabs>
          <w:tab w:val="clear" w:pos="1440"/>
          <w:tab w:val="num" w:pos="990"/>
        </w:tabs>
        <w:ind w:left="720" w:hanging="450"/>
        <w:contextualSpacing/>
        <w:jc w:val="both"/>
        <w:rPr>
          <w:rFonts w:eastAsia="SimSun"/>
          <w:b/>
          <w:sz w:val="22"/>
          <w:szCs w:val="22"/>
          <w:lang w:eastAsia="zh-CN"/>
        </w:rPr>
      </w:pPr>
      <w:r w:rsidRPr="00F61428">
        <w:rPr>
          <w:rFonts w:eastAsia="SimSun"/>
          <w:b/>
          <w:sz w:val="22"/>
          <w:szCs w:val="22"/>
          <w:lang w:eastAsia="zh-CN"/>
        </w:rPr>
        <w:t>Final Votes on Cases</w:t>
      </w:r>
    </w:p>
    <w:p w14:paraId="3DB72DE0" w14:textId="77777777" w:rsidR="00B87B1F" w:rsidRPr="00F61428" w:rsidRDefault="00B87B1F" w:rsidP="00B87B1F">
      <w:pPr>
        <w:ind w:left="720" w:hanging="450"/>
        <w:contextualSpacing/>
        <w:rPr>
          <w:rFonts w:eastAsia="SimSun"/>
          <w:b/>
          <w:sz w:val="12"/>
          <w:szCs w:val="12"/>
          <w:lang w:eastAsia="zh-CN"/>
        </w:rPr>
      </w:pPr>
    </w:p>
    <w:p w14:paraId="3767BAEC" w14:textId="77777777" w:rsidR="00B87B1F" w:rsidRPr="00F61428" w:rsidRDefault="00B87B1F" w:rsidP="00B87B1F">
      <w:pPr>
        <w:widowControl/>
        <w:numPr>
          <w:ilvl w:val="1"/>
          <w:numId w:val="1"/>
        </w:numPr>
        <w:tabs>
          <w:tab w:val="clear" w:pos="1440"/>
          <w:tab w:val="left" w:pos="720"/>
          <w:tab w:val="num" w:pos="990"/>
        </w:tabs>
        <w:ind w:hanging="1170"/>
        <w:contextualSpacing/>
        <w:jc w:val="both"/>
        <w:rPr>
          <w:rFonts w:eastAsia="SimSun"/>
          <w:b/>
          <w:sz w:val="22"/>
          <w:szCs w:val="22"/>
          <w:lang w:eastAsia="zh-CN"/>
        </w:rPr>
      </w:pPr>
      <w:r w:rsidRPr="00F61428">
        <w:rPr>
          <w:rFonts w:eastAsia="SimSun"/>
          <w:b/>
          <w:sz w:val="22"/>
          <w:szCs w:val="22"/>
          <w:lang w:eastAsia="zh-CN"/>
        </w:rPr>
        <w:t>Public Comments</w:t>
      </w:r>
    </w:p>
    <w:p w14:paraId="217AD3B1" w14:textId="77777777" w:rsidR="00B87B1F" w:rsidRPr="00F61428" w:rsidRDefault="00B87B1F" w:rsidP="00B87B1F">
      <w:pPr>
        <w:tabs>
          <w:tab w:val="left" w:pos="720"/>
        </w:tabs>
        <w:contextualSpacing/>
        <w:jc w:val="both"/>
        <w:rPr>
          <w:rFonts w:eastAsia="SimSun"/>
          <w:b/>
          <w:sz w:val="12"/>
          <w:szCs w:val="12"/>
          <w:lang w:eastAsia="zh-CN"/>
        </w:rPr>
      </w:pPr>
    </w:p>
    <w:p w14:paraId="0017EC9F" w14:textId="77777777" w:rsidR="00B87B1F" w:rsidRPr="003945A9" w:rsidRDefault="00B87B1F" w:rsidP="00B87B1F">
      <w:pPr>
        <w:widowControl/>
        <w:numPr>
          <w:ilvl w:val="0"/>
          <w:numId w:val="1"/>
        </w:numPr>
        <w:tabs>
          <w:tab w:val="left" w:pos="720"/>
        </w:tabs>
        <w:ind w:left="540" w:hanging="540"/>
        <w:contextualSpacing/>
        <w:jc w:val="both"/>
        <w:rPr>
          <w:rFonts w:eastAsia="SimSun"/>
          <w:b/>
          <w:sz w:val="22"/>
          <w:szCs w:val="22"/>
          <w:lang w:eastAsia="zh-CN"/>
        </w:rPr>
      </w:pPr>
      <w:r w:rsidRPr="00F61428">
        <w:rPr>
          <w:rFonts w:eastAsia="SimSun"/>
          <w:b/>
          <w:sz w:val="22"/>
          <w:szCs w:val="22"/>
          <w:lang w:eastAsia="zh-CN"/>
        </w:rPr>
        <w:t xml:space="preserve">Adjournment </w:t>
      </w:r>
    </w:p>
    <w:p w14:paraId="30DD2F88" w14:textId="77777777" w:rsidR="00B87B1F" w:rsidRDefault="00B87B1F" w:rsidP="00B87B1F">
      <w:pPr>
        <w:tabs>
          <w:tab w:val="left" w:pos="720"/>
        </w:tabs>
        <w:contextualSpacing/>
        <w:jc w:val="both"/>
        <w:rPr>
          <w:rFonts w:eastAsia="SimSun"/>
          <w:bCs/>
          <w:sz w:val="22"/>
          <w:szCs w:val="22"/>
          <w:lang w:eastAsia="zh-CN"/>
        </w:rPr>
      </w:pPr>
    </w:p>
    <w:p w14:paraId="30754ED9" w14:textId="77777777" w:rsidR="00B87B1F" w:rsidRPr="003945A9" w:rsidRDefault="00B87B1F" w:rsidP="00B87B1F">
      <w:pPr>
        <w:tabs>
          <w:tab w:val="left" w:pos="720"/>
        </w:tabs>
        <w:contextualSpacing/>
        <w:jc w:val="both"/>
        <w:rPr>
          <w:rFonts w:eastAsia="SimSun"/>
          <w:b/>
          <w:sz w:val="22"/>
          <w:szCs w:val="22"/>
          <w:lang w:eastAsia="zh-CN"/>
        </w:rPr>
      </w:pPr>
      <w:r w:rsidRPr="00F61428">
        <w:rPr>
          <w:rFonts w:eastAsia="SimSun"/>
          <w:bCs/>
          <w:sz w:val="22"/>
          <w:szCs w:val="22"/>
          <w:lang w:eastAsia="zh-CN"/>
        </w:rPr>
        <w:t xml:space="preserve">“This meeting is governed by the Open Meetings Act.  Please address any questions or complaints arising under this meeting to the Office of Open Government at </w:t>
      </w:r>
      <w:hyperlink r:id="rId7" w:history="1">
        <w:r w:rsidRPr="00F61428">
          <w:rPr>
            <w:rStyle w:val="Hyperlink"/>
            <w:rFonts w:eastAsia="SimSun"/>
            <w:bCs/>
            <w:sz w:val="22"/>
            <w:szCs w:val="22"/>
            <w:lang w:eastAsia="zh-CN"/>
          </w:rPr>
          <w:t>opengovoffice@dc.gov</w:t>
        </w:r>
      </w:hyperlink>
      <w:r w:rsidRPr="00F61428">
        <w:rPr>
          <w:rFonts w:eastAsia="SimSun"/>
          <w:bCs/>
          <w:sz w:val="22"/>
          <w:szCs w:val="22"/>
          <w:lang w:eastAsia="zh-CN"/>
        </w:rPr>
        <w:t>.”</w:t>
      </w:r>
    </w:p>
    <w:p w14:paraId="1F5EA52A" w14:textId="77777777" w:rsidR="00B87B1F" w:rsidRDefault="00B87B1F" w:rsidP="00B87B1F"/>
    <w:p w14:paraId="1E7AC83B" w14:textId="77777777" w:rsidR="00FF3C1A" w:rsidRDefault="00FF3C1A"/>
    <w:sectPr w:rsidR="00FF3C1A" w:rsidSect="00A86F7B">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163F1C"/>
    <w:multiLevelType w:val="hybridMultilevel"/>
    <w:tmpl w:val="7DD86578"/>
    <w:lvl w:ilvl="0" w:tplc="600E7EF2">
      <w:start w:val="1"/>
      <w:numFmt w:val="upperRoman"/>
      <w:lvlText w:val="%1."/>
      <w:lvlJc w:val="left"/>
      <w:pPr>
        <w:tabs>
          <w:tab w:val="num" w:pos="1080"/>
        </w:tabs>
        <w:ind w:left="1080" w:hanging="720"/>
      </w:pPr>
      <w:rPr>
        <w:b/>
      </w:rPr>
    </w:lvl>
    <w:lvl w:ilvl="1" w:tplc="AE1E5B42">
      <w:start w:val="1"/>
      <w:numFmt w:val="upperLetter"/>
      <w:lvlText w:val="%2."/>
      <w:lvlJc w:val="left"/>
      <w:pPr>
        <w:tabs>
          <w:tab w:val="num" w:pos="1440"/>
        </w:tabs>
        <w:ind w:left="1440" w:hanging="360"/>
      </w:pPr>
      <w:rPr>
        <w:b/>
      </w:rPr>
    </w:lvl>
    <w:lvl w:ilvl="2" w:tplc="1496FC8C">
      <w:start w:val="1"/>
      <w:numFmt w:val="decimal"/>
      <w:lvlText w:val="%3."/>
      <w:lvlJc w:val="left"/>
      <w:pPr>
        <w:tabs>
          <w:tab w:val="num" w:pos="1620"/>
        </w:tabs>
        <w:ind w:left="1620" w:hanging="360"/>
      </w:pPr>
      <w:rPr>
        <w:b/>
        <w:bCs w:val="0"/>
        <w:color w:val="auto"/>
        <w:sz w:val="22"/>
        <w:szCs w:val="22"/>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4996567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B1F"/>
    <w:rsid w:val="0061332A"/>
    <w:rsid w:val="007552B7"/>
    <w:rsid w:val="007A4617"/>
    <w:rsid w:val="00A86F7B"/>
    <w:rsid w:val="00AC14CF"/>
    <w:rsid w:val="00B87B1F"/>
    <w:rsid w:val="00BF2AF3"/>
    <w:rsid w:val="00FF3C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2C4AE"/>
  <w15:chartTrackingRefBased/>
  <w15:docId w15:val="{646CF6B5-E3D3-410B-959A-2294E1071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B1F"/>
    <w:pPr>
      <w:widowControl w:val="0"/>
      <w:spacing w:after="0" w:line="240" w:lineRule="auto"/>
    </w:pPr>
    <w:rPr>
      <w:rFonts w:ascii="Times New Roman" w:eastAsia="Times New Roman" w:hAnsi="Times New Roman" w:cs="Times New Roman"/>
      <w:kern w:val="0"/>
    </w:rPr>
  </w:style>
  <w:style w:type="paragraph" w:styleId="Heading1">
    <w:name w:val="heading 1"/>
    <w:basedOn w:val="Normal"/>
    <w:next w:val="Normal"/>
    <w:link w:val="Heading1Char"/>
    <w:uiPriority w:val="9"/>
    <w:qFormat/>
    <w:rsid w:val="00B87B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7B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7B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7B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7B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7B1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7B1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7B1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7B1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7B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7B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7B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7B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7B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7B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7B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7B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7B1F"/>
    <w:rPr>
      <w:rFonts w:eastAsiaTheme="majorEastAsia" w:cstheme="majorBidi"/>
      <w:color w:val="272727" w:themeColor="text1" w:themeTint="D8"/>
    </w:rPr>
  </w:style>
  <w:style w:type="paragraph" w:styleId="Title">
    <w:name w:val="Title"/>
    <w:basedOn w:val="Normal"/>
    <w:next w:val="Normal"/>
    <w:link w:val="TitleChar"/>
    <w:uiPriority w:val="10"/>
    <w:qFormat/>
    <w:rsid w:val="00B87B1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7B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7B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7B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7B1F"/>
    <w:pPr>
      <w:spacing w:before="160"/>
      <w:jc w:val="center"/>
    </w:pPr>
    <w:rPr>
      <w:i/>
      <w:iCs/>
      <w:color w:val="404040" w:themeColor="text1" w:themeTint="BF"/>
    </w:rPr>
  </w:style>
  <w:style w:type="character" w:customStyle="1" w:styleId="QuoteChar">
    <w:name w:val="Quote Char"/>
    <w:basedOn w:val="DefaultParagraphFont"/>
    <w:link w:val="Quote"/>
    <w:uiPriority w:val="29"/>
    <w:rsid w:val="00B87B1F"/>
    <w:rPr>
      <w:i/>
      <w:iCs/>
      <w:color w:val="404040" w:themeColor="text1" w:themeTint="BF"/>
    </w:rPr>
  </w:style>
  <w:style w:type="paragraph" w:styleId="ListParagraph">
    <w:name w:val="List Paragraph"/>
    <w:basedOn w:val="Normal"/>
    <w:uiPriority w:val="34"/>
    <w:qFormat/>
    <w:rsid w:val="00B87B1F"/>
    <w:pPr>
      <w:ind w:left="720"/>
      <w:contextualSpacing/>
    </w:pPr>
  </w:style>
  <w:style w:type="character" w:styleId="IntenseEmphasis">
    <w:name w:val="Intense Emphasis"/>
    <w:basedOn w:val="DefaultParagraphFont"/>
    <w:uiPriority w:val="21"/>
    <w:qFormat/>
    <w:rsid w:val="00B87B1F"/>
    <w:rPr>
      <w:i/>
      <w:iCs/>
      <w:color w:val="0F4761" w:themeColor="accent1" w:themeShade="BF"/>
    </w:rPr>
  </w:style>
  <w:style w:type="paragraph" w:styleId="IntenseQuote">
    <w:name w:val="Intense Quote"/>
    <w:basedOn w:val="Normal"/>
    <w:next w:val="Normal"/>
    <w:link w:val="IntenseQuoteChar"/>
    <w:uiPriority w:val="30"/>
    <w:qFormat/>
    <w:rsid w:val="00B87B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7B1F"/>
    <w:rPr>
      <w:i/>
      <w:iCs/>
      <w:color w:val="0F4761" w:themeColor="accent1" w:themeShade="BF"/>
    </w:rPr>
  </w:style>
  <w:style w:type="character" w:styleId="IntenseReference">
    <w:name w:val="Intense Reference"/>
    <w:basedOn w:val="DefaultParagraphFont"/>
    <w:uiPriority w:val="32"/>
    <w:qFormat/>
    <w:rsid w:val="00B87B1F"/>
    <w:rPr>
      <w:b/>
      <w:bCs/>
      <w:smallCaps/>
      <w:color w:val="0F4761" w:themeColor="accent1" w:themeShade="BF"/>
      <w:spacing w:val="5"/>
    </w:rPr>
  </w:style>
  <w:style w:type="character" w:styleId="Hyperlink">
    <w:name w:val="Hyperlink"/>
    <w:basedOn w:val="DefaultParagraphFont"/>
    <w:uiPriority w:val="99"/>
    <w:unhideWhenUsed/>
    <w:rsid w:val="00B87B1F"/>
    <w:rPr>
      <w:color w:val="467886" w:themeColor="hyperlink"/>
      <w:u w:val="single"/>
    </w:rPr>
  </w:style>
  <w:style w:type="character" w:styleId="CommentReference">
    <w:name w:val="annotation reference"/>
    <w:basedOn w:val="DefaultParagraphFont"/>
    <w:uiPriority w:val="99"/>
    <w:semiHidden/>
    <w:unhideWhenUsed/>
    <w:rsid w:val="00B87B1F"/>
    <w:rPr>
      <w:sz w:val="16"/>
      <w:szCs w:val="16"/>
    </w:rPr>
  </w:style>
  <w:style w:type="paragraph" w:styleId="CommentText">
    <w:name w:val="annotation text"/>
    <w:basedOn w:val="Normal"/>
    <w:link w:val="CommentTextChar"/>
    <w:uiPriority w:val="99"/>
    <w:unhideWhenUsed/>
    <w:rsid w:val="00B87B1F"/>
    <w:pPr>
      <w:widowControl/>
      <w:spacing w:after="160"/>
    </w:pPr>
    <w:rPr>
      <w:rFonts w:asciiTheme="minorHAnsi" w:eastAsiaTheme="minorHAnsi" w:hAnsiTheme="minorHAnsi" w:cstheme="minorBidi"/>
      <w:kern w:val="2"/>
      <w:sz w:val="20"/>
      <w:szCs w:val="20"/>
    </w:rPr>
  </w:style>
  <w:style w:type="character" w:customStyle="1" w:styleId="CommentTextChar">
    <w:name w:val="Comment Text Char"/>
    <w:basedOn w:val="DefaultParagraphFont"/>
    <w:link w:val="CommentText"/>
    <w:uiPriority w:val="99"/>
    <w:rsid w:val="00B87B1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pengovoffice@dc.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wynter.clarke@dc.gov" TargetMode="External"/><Relationship Id="rId5" Type="http://schemas.openxmlformats.org/officeDocument/2006/relationships/hyperlink" Target="https://dcnet.webex.com/dcnet/j.php?MTID=m3f8b4f2c6adb9740e909d10dc65e4cdb"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3244</Words>
  <Characters>18495</Characters>
  <Application>Microsoft Office Word</Application>
  <DocSecurity>4</DocSecurity>
  <Lines>154</Lines>
  <Paragraphs>43</Paragraphs>
  <ScaleCrop>false</ScaleCrop>
  <Company/>
  <LinksUpToDate>false</LinksUpToDate>
  <CharactersWithSpaces>21696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Murphy, Sommer J. (OEA)</dc:creator>
  <cp:keywords/>
  <dc:description/>
  <cp:lastModifiedBy>Clarke, Wynter (OEA)</cp:lastModifiedBy>
  <cp:revision>2</cp:revision>
  <cp:lastPrinted>2026-08-03T12:40:00Z</cp:lastPrinted>
  <dcterms:created xsi:type="dcterms:W3CDTF">2026-08-03T12:40:00Z</dcterms:created>
  <dcterms:modified xsi:type="dcterms:W3CDTF">2026-08-03T12:40:00Z</dcterms:modified>
</cp:coreProperties>
</file>