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C3854C" w14:textId="77777777" w:rsidR="000856D5" w:rsidRPr="0037607A" w:rsidRDefault="000856D5" w:rsidP="000856D5">
      <w:pPr>
        <w:spacing w:after="0" w:line="240" w:lineRule="auto"/>
        <w:jc w:val="center"/>
        <w:rPr>
          <w:rFonts w:ascii="Times New Roman" w:eastAsia="SimSun" w:hAnsi="Times New Roman" w:cs="Times New Roman"/>
          <w:b/>
          <w:sz w:val="24"/>
          <w:szCs w:val="24"/>
          <w:lang w:eastAsia="zh-CN"/>
        </w:rPr>
      </w:pPr>
      <w:r w:rsidRPr="0037607A">
        <w:rPr>
          <w:rFonts w:ascii="Times New Roman" w:eastAsia="SimSun" w:hAnsi="Times New Roman" w:cs="Times New Roman"/>
          <w:b/>
          <w:sz w:val="24"/>
          <w:szCs w:val="24"/>
          <w:lang w:eastAsia="zh-CN"/>
        </w:rPr>
        <w:t>DISTRICT OF COLUMBIA</w:t>
      </w:r>
    </w:p>
    <w:p w14:paraId="58DD8442" w14:textId="77777777" w:rsidR="000856D5" w:rsidRPr="0037607A" w:rsidRDefault="000856D5" w:rsidP="000856D5">
      <w:pPr>
        <w:spacing w:after="0" w:line="240" w:lineRule="auto"/>
        <w:jc w:val="center"/>
        <w:rPr>
          <w:rFonts w:ascii="Times New Roman" w:eastAsia="SimSun" w:hAnsi="Times New Roman" w:cs="Times New Roman"/>
          <w:b/>
          <w:sz w:val="24"/>
          <w:szCs w:val="24"/>
          <w:lang w:eastAsia="zh-CN"/>
        </w:rPr>
      </w:pPr>
      <w:r w:rsidRPr="0037607A">
        <w:rPr>
          <w:rFonts w:ascii="Times New Roman" w:eastAsia="SimSun" w:hAnsi="Times New Roman" w:cs="Times New Roman"/>
          <w:b/>
          <w:sz w:val="24"/>
          <w:szCs w:val="24"/>
          <w:lang w:eastAsia="zh-CN"/>
        </w:rPr>
        <w:t>OFFICE OF EMPLOYEE APPEALS</w:t>
      </w:r>
    </w:p>
    <w:p w14:paraId="4527B50A" w14:textId="77777777" w:rsidR="000856D5" w:rsidRPr="0037607A" w:rsidRDefault="000856D5" w:rsidP="000856D5">
      <w:pPr>
        <w:spacing w:after="0" w:line="240" w:lineRule="auto"/>
        <w:jc w:val="center"/>
        <w:rPr>
          <w:rFonts w:ascii="Times New Roman" w:eastAsia="SimSun" w:hAnsi="Times New Roman" w:cs="Times New Roman"/>
          <w:b/>
          <w:sz w:val="24"/>
          <w:szCs w:val="24"/>
          <w:lang w:eastAsia="zh-CN"/>
        </w:rPr>
      </w:pPr>
    </w:p>
    <w:p w14:paraId="1F590B0A" w14:textId="77777777" w:rsidR="000856D5" w:rsidRPr="0037607A" w:rsidRDefault="000856D5" w:rsidP="000856D5">
      <w:pPr>
        <w:spacing w:after="0" w:line="240" w:lineRule="auto"/>
        <w:jc w:val="center"/>
        <w:rPr>
          <w:rFonts w:ascii="Times New Roman" w:eastAsia="SimSun" w:hAnsi="Times New Roman" w:cs="Times New Roman"/>
          <w:b/>
          <w:sz w:val="24"/>
          <w:szCs w:val="24"/>
          <w:lang w:eastAsia="zh-CN"/>
        </w:rPr>
      </w:pPr>
      <w:r w:rsidRPr="0037607A">
        <w:rPr>
          <w:rFonts w:ascii="Times New Roman" w:eastAsia="SimSun" w:hAnsi="Times New Roman" w:cs="Times New Roman"/>
          <w:b/>
          <w:sz w:val="24"/>
          <w:szCs w:val="24"/>
          <w:lang w:eastAsia="zh-CN"/>
        </w:rPr>
        <w:t>NOTICE OF PUBLIC MEETING</w:t>
      </w:r>
    </w:p>
    <w:p w14:paraId="36094045" w14:textId="77777777" w:rsidR="000856D5" w:rsidRPr="0037607A" w:rsidRDefault="000856D5" w:rsidP="000856D5">
      <w:pPr>
        <w:spacing w:after="0" w:line="240" w:lineRule="auto"/>
        <w:jc w:val="both"/>
        <w:rPr>
          <w:rFonts w:ascii="Times New Roman" w:eastAsia="SimSun" w:hAnsi="Times New Roman" w:cs="Times New Roman"/>
          <w:bCs/>
          <w:sz w:val="24"/>
          <w:szCs w:val="24"/>
          <w:lang w:eastAsia="zh-CN"/>
        </w:rPr>
      </w:pPr>
    </w:p>
    <w:p w14:paraId="1BF37567" w14:textId="369F5AC7" w:rsidR="000856D5" w:rsidRPr="0037607A" w:rsidRDefault="000856D5" w:rsidP="000856D5">
      <w:pPr>
        <w:spacing w:after="0" w:line="240" w:lineRule="auto"/>
        <w:jc w:val="both"/>
        <w:rPr>
          <w:rFonts w:ascii="Times New Roman" w:eastAsia="SimSun" w:hAnsi="Times New Roman" w:cs="Times New Roman"/>
          <w:bCs/>
          <w:sz w:val="24"/>
          <w:szCs w:val="24"/>
          <w:lang w:eastAsia="zh-CN"/>
        </w:rPr>
      </w:pPr>
      <w:r w:rsidRPr="0037607A">
        <w:rPr>
          <w:rFonts w:ascii="Times New Roman" w:eastAsia="SimSun" w:hAnsi="Times New Roman" w:cs="Times New Roman"/>
          <w:bCs/>
          <w:sz w:val="24"/>
          <w:szCs w:val="24"/>
          <w:lang w:eastAsia="zh-CN"/>
        </w:rPr>
        <w:t xml:space="preserve">The District of Columbia Office of Employee Appeals will hold a meeting on </w:t>
      </w:r>
      <w:r w:rsidR="002959CB">
        <w:rPr>
          <w:rFonts w:ascii="Times New Roman" w:eastAsia="SimSun" w:hAnsi="Times New Roman" w:cs="Times New Roman"/>
          <w:bCs/>
          <w:sz w:val="24"/>
          <w:szCs w:val="24"/>
          <w:lang w:eastAsia="zh-CN"/>
        </w:rPr>
        <w:t>June 17</w:t>
      </w:r>
      <w:r w:rsidRPr="0037607A">
        <w:rPr>
          <w:rFonts w:ascii="Times New Roman" w:eastAsia="SimSun" w:hAnsi="Times New Roman" w:cs="Times New Roman"/>
          <w:bCs/>
          <w:sz w:val="24"/>
          <w:szCs w:val="24"/>
          <w:lang w:eastAsia="zh-CN"/>
        </w:rPr>
        <w:t>,</w:t>
      </w:r>
      <w:r w:rsidR="00CF5344" w:rsidRPr="0037607A">
        <w:rPr>
          <w:rFonts w:ascii="Times New Roman" w:eastAsia="SimSun" w:hAnsi="Times New Roman" w:cs="Times New Roman"/>
          <w:bCs/>
          <w:sz w:val="24"/>
          <w:szCs w:val="24"/>
          <w:lang w:eastAsia="zh-CN"/>
        </w:rPr>
        <w:t xml:space="preserve"> 2021,</w:t>
      </w:r>
      <w:r w:rsidRPr="0037607A">
        <w:rPr>
          <w:rFonts w:ascii="Times New Roman" w:eastAsia="SimSun" w:hAnsi="Times New Roman" w:cs="Times New Roman"/>
          <w:bCs/>
          <w:sz w:val="24"/>
          <w:szCs w:val="24"/>
          <w:lang w:eastAsia="zh-CN"/>
        </w:rPr>
        <w:t xml:space="preserve"> at 11:00 a.m. Considering the public health crisis, the Board will meet remotely.  Below is the agenda for the meeting.  </w:t>
      </w:r>
    </w:p>
    <w:p w14:paraId="65EBBE31" w14:textId="77777777" w:rsidR="000856D5" w:rsidRPr="00FA0192" w:rsidRDefault="000856D5" w:rsidP="000856D5">
      <w:pPr>
        <w:spacing w:after="0" w:line="240" w:lineRule="auto"/>
        <w:jc w:val="both"/>
        <w:rPr>
          <w:rFonts w:ascii="Times New Roman" w:eastAsia="SimSun" w:hAnsi="Times New Roman" w:cs="Times New Roman"/>
          <w:bCs/>
          <w:sz w:val="12"/>
          <w:szCs w:val="12"/>
          <w:lang w:eastAsia="zh-CN"/>
        </w:rPr>
      </w:pPr>
    </w:p>
    <w:p w14:paraId="2E9CF6E3" w14:textId="7082388B" w:rsidR="00F911B7" w:rsidRDefault="000856D5" w:rsidP="002959CB">
      <w:pPr>
        <w:jc w:val="both"/>
        <w:rPr>
          <w:rFonts w:ascii="Helvetica" w:hAnsi="Helvetica"/>
          <w:color w:val="000000"/>
          <w:sz w:val="21"/>
          <w:szCs w:val="21"/>
        </w:rPr>
      </w:pPr>
      <w:r w:rsidRPr="0037607A">
        <w:rPr>
          <w:rFonts w:ascii="Times New Roman" w:hAnsi="Times New Roman" w:cs="Times New Roman"/>
          <w:bCs/>
          <w:sz w:val="24"/>
          <w:szCs w:val="24"/>
        </w:rPr>
        <w:t>Members of the public are welcome to observe the meeting. In order to attend the meeting, please visit</w:t>
      </w:r>
      <w:r w:rsidR="00F911B7" w:rsidRPr="0037607A">
        <w:rPr>
          <w:rFonts w:ascii="Times New Roman" w:hAnsi="Times New Roman" w:cs="Times New Roman"/>
          <w:bCs/>
          <w:sz w:val="24"/>
          <w:szCs w:val="24"/>
        </w:rPr>
        <w:t>:</w:t>
      </w:r>
      <w:r w:rsidR="00ED7AA8">
        <w:rPr>
          <w:rFonts w:ascii="Times New Roman" w:hAnsi="Times New Roman" w:cs="Times New Roman"/>
          <w:bCs/>
          <w:sz w:val="24"/>
          <w:szCs w:val="24"/>
        </w:rPr>
        <w:t xml:space="preserve"> </w:t>
      </w:r>
      <w:hyperlink r:id="rId8" w:history="1">
        <w:r w:rsidR="00EA1369" w:rsidRPr="00014923">
          <w:rPr>
            <w:rStyle w:val="Hyperlink"/>
            <w:rFonts w:ascii="Helvetica" w:hAnsi="Helvetica"/>
            <w:sz w:val="21"/>
            <w:szCs w:val="21"/>
          </w:rPr>
          <w:t>https://dcnet.webex.com/dcnet/onstage/g.php?MTID=ec7292b3231373f1732a0b2446cd2a10a</w:t>
        </w:r>
      </w:hyperlink>
    </w:p>
    <w:p w14:paraId="65327CE9" w14:textId="33CB528D" w:rsidR="00CD1785" w:rsidRPr="005E3410" w:rsidRDefault="00EA1369" w:rsidP="005E3410">
      <w:pPr>
        <w:jc w:val="both"/>
        <w:rPr>
          <w:rFonts w:ascii="Times New Roman" w:hAnsi="Times New Roman" w:cs="Times New Roman"/>
          <w:color w:val="000000"/>
          <w:sz w:val="24"/>
          <w:szCs w:val="24"/>
        </w:rPr>
      </w:pPr>
      <w:r w:rsidRPr="00EA1369">
        <w:rPr>
          <w:rFonts w:ascii="Times New Roman" w:hAnsi="Times New Roman" w:cs="Times New Roman"/>
          <w:color w:val="000000"/>
          <w:sz w:val="24"/>
          <w:szCs w:val="24"/>
        </w:rPr>
        <w:t>Event password: board</w:t>
      </w:r>
    </w:p>
    <w:p w14:paraId="6E98FB0D" w14:textId="77777777" w:rsidR="00432FB8" w:rsidRPr="0037607A" w:rsidRDefault="000856D5" w:rsidP="000856D5">
      <w:pPr>
        <w:spacing w:after="0" w:line="240" w:lineRule="auto"/>
        <w:jc w:val="both"/>
        <w:rPr>
          <w:rFonts w:ascii="Times New Roman" w:hAnsi="Times New Roman" w:cs="Times New Roman"/>
          <w:bCs/>
          <w:sz w:val="24"/>
          <w:szCs w:val="24"/>
        </w:rPr>
      </w:pPr>
      <w:r w:rsidRPr="0037607A">
        <w:rPr>
          <w:rFonts w:ascii="Times New Roman" w:hAnsi="Times New Roman" w:cs="Times New Roman"/>
          <w:bCs/>
          <w:sz w:val="24"/>
          <w:szCs w:val="24"/>
        </w:rPr>
        <w:t>We recommend logging in ten (10) minutes before the meeting starts.</w:t>
      </w:r>
      <w:r w:rsidR="00CD1785" w:rsidRPr="0037607A">
        <w:rPr>
          <w:rFonts w:ascii="Times New Roman" w:hAnsi="Times New Roman" w:cs="Times New Roman"/>
          <w:bCs/>
          <w:sz w:val="24"/>
          <w:szCs w:val="24"/>
        </w:rPr>
        <w:t xml:space="preserve">  In order to </w:t>
      </w:r>
      <w:r w:rsidR="00004F4F" w:rsidRPr="0037607A">
        <w:rPr>
          <w:rFonts w:ascii="Times New Roman" w:hAnsi="Times New Roman" w:cs="Times New Roman"/>
          <w:bCs/>
          <w:sz w:val="24"/>
          <w:szCs w:val="24"/>
        </w:rPr>
        <w:t>access</w:t>
      </w:r>
      <w:r w:rsidR="00CD1785" w:rsidRPr="0037607A">
        <w:rPr>
          <w:rFonts w:ascii="Times New Roman" w:hAnsi="Times New Roman" w:cs="Times New Roman"/>
          <w:bCs/>
          <w:sz w:val="24"/>
          <w:szCs w:val="24"/>
        </w:rPr>
        <w:t xml:space="preserve"> Webex,</w:t>
      </w:r>
      <w:r w:rsidR="009573A9" w:rsidRPr="0037607A">
        <w:rPr>
          <w:rFonts w:ascii="Times New Roman" w:hAnsi="Times New Roman" w:cs="Times New Roman"/>
          <w:bCs/>
          <w:sz w:val="24"/>
          <w:szCs w:val="24"/>
        </w:rPr>
        <w:t xml:space="preserve"> laptop or desktop computer</w:t>
      </w:r>
      <w:r w:rsidR="00CD1785" w:rsidRPr="0037607A">
        <w:rPr>
          <w:rFonts w:ascii="Times New Roman" w:hAnsi="Times New Roman" w:cs="Times New Roman"/>
          <w:bCs/>
          <w:sz w:val="24"/>
          <w:szCs w:val="24"/>
        </w:rPr>
        <w:t xml:space="preserve"> users must use Google Chrome, Firefox, or Microsoft Edge </w:t>
      </w:r>
      <w:r w:rsidR="002F4D23" w:rsidRPr="0037607A">
        <w:rPr>
          <w:rFonts w:ascii="Times New Roman" w:hAnsi="Times New Roman" w:cs="Times New Roman"/>
          <w:bCs/>
          <w:sz w:val="24"/>
          <w:szCs w:val="24"/>
        </w:rPr>
        <w:t>B</w:t>
      </w:r>
      <w:r w:rsidR="00CD1785" w:rsidRPr="0037607A">
        <w:rPr>
          <w:rFonts w:ascii="Times New Roman" w:hAnsi="Times New Roman" w:cs="Times New Roman"/>
          <w:bCs/>
          <w:sz w:val="24"/>
          <w:szCs w:val="24"/>
        </w:rPr>
        <w:t>rowsers.</w:t>
      </w:r>
    </w:p>
    <w:p w14:paraId="32ABC1A5" w14:textId="77777777" w:rsidR="00432FB8" w:rsidRPr="00FA0192" w:rsidRDefault="00432FB8" w:rsidP="000856D5">
      <w:pPr>
        <w:spacing w:after="0" w:line="240" w:lineRule="auto"/>
        <w:jc w:val="both"/>
        <w:rPr>
          <w:rFonts w:ascii="Times New Roman" w:hAnsi="Times New Roman" w:cs="Times New Roman"/>
          <w:bCs/>
          <w:sz w:val="12"/>
          <w:szCs w:val="12"/>
        </w:rPr>
      </w:pPr>
    </w:p>
    <w:p w14:paraId="0726731C" w14:textId="1D34E5C9" w:rsidR="00432FB8" w:rsidRPr="0037607A" w:rsidRDefault="009573A9" w:rsidP="000856D5">
      <w:pPr>
        <w:spacing w:after="0" w:line="240" w:lineRule="auto"/>
        <w:jc w:val="both"/>
        <w:rPr>
          <w:rFonts w:ascii="Times New Roman" w:hAnsi="Times New Roman" w:cs="Times New Roman"/>
          <w:bCs/>
          <w:sz w:val="24"/>
          <w:szCs w:val="24"/>
        </w:rPr>
      </w:pPr>
      <w:r w:rsidRPr="0037607A">
        <w:rPr>
          <w:rFonts w:ascii="Times New Roman" w:hAnsi="Times New Roman" w:cs="Times New Roman"/>
          <w:bCs/>
          <w:sz w:val="24"/>
          <w:szCs w:val="24"/>
        </w:rPr>
        <w:t xml:space="preserve">Smartphone/Tablets or iPad user must first go to the App Store, download the Webex App (Cisco Webex Meetings), enter the Access Code, and enter your name, email address, and click Join.  It is recommended that a laptop or desktop computer be utilized for this platform.  </w:t>
      </w:r>
    </w:p>
    <w:p w14:paraId="0CA49638" w14:textId="77777777" w:rsidR="00432FB8" w:rsidRPr="00FA0192" w:rsidRDefault="00432FB8" w:rsidP="000856D5">
      <w:pPr>
        <w:spacing w:after="0" w:line="240" w:lineRule="auto"/>
        <w:jc w:val="both"/>
        <w:rPr>
          <w:rFonts w:ascii="Times New Roman" w:hAnsi="Times New Roman" w:cs="Times New Roman"/>
          <w:bCs/>
          <w:sz w:val="12"/>
          <w:szCs w:val="12"/>
        </w:rPr>
      </w:pPr>
    </w:p>
    <w:p w14:paraId="428950AC" w14:textId="42388073" w:rsidR="002C0A6F" w:rsidRPr="0037607A" w:rsidRDefault="002C0A6F" w:rsidP="000856D5">
      <w:pPr>
        <w:spacing w:after="0" w:line="240" w:lineRule="auto"/>
        <w:jc w:val="both"/>
        <w:rPr>
          <w:rFonts w:ascii="Times New Roman" w:hAnsi="Times New Roman" w:cs="Times New Roman"/>
          <w:bCs/>
          <w:sz w:val="24"/>
          <w:szCs w:val="24"/>
        </w:rPr>
      </w:pPr>
      <w:r w:rsidRPr="0037607A">
        <w:rPr>
          <w:rFonts w:ascii="Times New Roman" w:hAnsi="Times New Roman" w:cs="Times New Roman"/>
          <w:bCs/>
          <w:sz w:val="24"/>
          <w:szCs w:val="24"/>
        </w:rPr>
        <w:t>Your computer, tablet, or smartphone’s built-in speaker and microphone will be used in the virtual meeting unless you use a headset.  Headsets provide better sound quality and privacy.</w:t>
      </w:r>
      <w:r w:rsidR="002F4D23" w:rsidRPr="0037607A">
        <w:rPr>
          <w:rFonts w:ascii="Times New Roman" w:hAnsi="Times New Roman" w:cs="Times New Roman"/>
          <w:bCs/>
          <w:sz w:val="24"/>
          <w:szCs w:val="24"/>
        </w:rPr>
        <w:t xml:space="preserve">  </w:t>
      </w:r>
    </w:p>
    <w:p w14:paraId="02428C02" w14:textId="77777777" w:rsidR="002C0A6F" w:rsidRPr="00FA0192" w:rsidRDefault="002C0A6F" w:rsidP="000856D5">
      <w:pPr>
        <w:spacing w:after="0" w:line="240" w:lineRule="auto"/>
        <w:jc w:val="both"/>
        <w:rPr>
          <w:rFonts w:ascii="Times New Roman" w:hAnsi="Times New Roman" w:cs="Times New Roman"/>
          <w:bCs/>
          <w:sz w:val="12"/>
          <w:szCs w:val="12"/>
        </w:rPr>
      </w:pPr>
    </w:p>
    <w:p w14:paraId="473E7C4C" w14:textId="24D8F35D" w:rsidR="000856D5" w:rsidRPr="0037607A" w:rsidRDefault="000856D5" w:rsidP="000856D5">
      <w:pPr>
        <w:spacing w:after="0" w:line="240" w:lineRule="auto"/>
        <w:jc w:val="both"/>
        <w:rPr>
          <w:rFonts w:ascii="Times New Roman" w:hAnsi="Times New Roman" w:cs="Times New Roman"/>
          <w:bCs/>
          <w:sz w:val="24"/>
          <w:szCs w:val="24"/>
        </w:rPr>
      </w:pPr>
      <w:r w:rsidRPr="0037607A">
        <w:rPr>
          <w:rFonts w:ascii="Times New Roman" w:hAnsi="Times New Roman" w:cs="Times New Roman"/>
          <w:bCs/>
          <w:sz w:val="24"/>
          <w:szCs w:val="24"/>
        </w:rPr>
        <w:t xml:space="preserve">If you do not have access to the internet, please call-in toll number (US/Canada) </w:t>
      </w:r>
      <w:r w:rsidRPr="0037607A">
        <w:rPr>
          <w:rFonts w:ascii="Times New Roman" w:hAnsi="Times New Roman" w:cs="Times New Roman"/>
          <w:bCs/>
          <w:color w:val="000000"/>
          <w:sz w:val="24"/>
          <w:szCs w:val="24"/>
          <w:shd w:val="clear" w:color="auto" w:fill="FFFFFF"/>
        </w:rPr>
        <w:t xml:space="preserve">1-650-479-3208, Access code: </w:t>
      </w:r>
      <w:r w:rsidR="002959CB" w:rsidRPr="002959CB">
        <w:rPr>
          <w:rFonts w:ascii="Times New Roman" w:hAnsi="Times New Roman" w:cs="Times New Roman"/>
          <w:bCs/>
          <w:color w:val="000000"/>
          <w:sz w:val="24"/>
          <w:szCs w:val="24"/>
          <w:shd w:val="clear" w:color="auto" w:fill="FFFFFF"/>
        </w:rPr>
        <w:t>172 680 2486</w:t>
      </w:r>
    </w:p>
    <w:p w14:paraId="43334E3E" w14:textId="77777777" w:rsidR="000856D5" w:rsidRPr="00FA0192" w:rsidRDefault="000856D5" w:rsidP="000856D5">
      <w:pPr>
        <w:spacing w:after="0" w:line="240" w:lineRule="auto"/>
        <w:jc w:val="both"/>
        <w:rPr>
          <w:rFonts w:ascii="Times New Roman" w:eastAsia="SimSun" w:hAnsi="Times New Roman" w:cs="Times New Roman"/>
          <w:bCs/>
          <w:sz w:val="12"/>
          <w:szCs w:val="12"/>
          <w:lang w:eastAsia="zh-CN"/>
        </w:rPr>
      </w:pPr>
    </w:p>
    <w:p w14:paraId="224D8A2D" w14:textId="77777777" w:rsidR="000856D5" w:rsidRPr="0037607A" w:rsidRDefault="000856D5" w:rsidP="000856D5">
      <w:pPr>
        <w:spacing w:after="0" w:line="240" w:lineRule="auto"/>
        <w:jc w:val="both"/>
        <w:rPr>
          <w:rFonts w:ascii="Times New Roman" w:eastAsia="SimSun" w:hAnsi="Times New Roman" w:cs="Times New Roman"/>
          <w:bCs/>
          <w:sz w:val="24"/>
          <w:szCs w:val="24"/>
          <w:lang w:eastAsia="zh-CN"/>
        </w:rPr>
      </w:pPr>
      <w:r w:rsidRPr="0037607A">
        <w:rPr>
          <w:rFonts w:ascii="Times New Roman" w:eastAsia="SimSun" w:hAnsi="Times New Roman" w:cs="Times New Roman"/>
          <w:bCs/>
          <w:sz w:val="24"/>
          <w:szCs w:val="24"/>
          <w:lang w:eastAsia="zh-CN"/>
        </w:rPr>
        <w:t xml:space="preserve">Questions about the meeting may be directed to </w:t>
      </w:r>
      <w:hyperlink r:id="rId9" w:history="1">
        <w:r w:rsidRPr="0037607A">
          <w:rPr>
            <w:rStyle w:val="Hyperlink"/>
            <w:rFonts w:ascii="Times New Roman" w:eastAsia="SimSun" w:hAnsi="Times New Roman" w:cs="Times New Roman"/>
            <w:bCs/>
            <w:sz w:val="24"/>
            <w:szCs w:val="24"/>
            <w:lang w:eastAsia="zh-CN"/>
          </w:rPr>
          <w:t>wynter.clarke@dc.gov</w:t>
        </w:r>
      </w:hyperlink>
      <w:r w:rsidRPr="0037607A">
        <w:rPr>
          <w:rFonts w:ascii="Times New Roman" w:eastAsia="SimSun" w:hAnsi="Times New Roman" w:cs="Times New Roman"/>
          <w:bCs/>
          <w:sz w:val="24"/>
          <w:szCs w:val="24"/>
          <w:lang w:eastAsia="zh-CN"/>
        </w:rPr>
        <w:t>.</w:t>
      </w:r>
    </w:p>
    <w:p w14:paraId="7670B71F" w14:textId="2CD86EAB" w:rsidR="0080101F" w:rsidRDefault="0080101F" w:rsidP="00FA0192">
      <w:pPr>
        <w:spacing w:after="0" w:line="240" w:lineRule="auto"/>
        <w:jc w:val="center"/>
        <w:rPr>
          <w:rFonts w:ascii="Times New Roman" w:eastAsia="SimSun" w:hAnsi="Times New Roman" w:cs="Times New Roman"/>
          <w:bCs/>
          <w:sz w:val="24"/>
          <w:szCs w:val="24"/>
          <w:lang w:eastAsia="zh-CN"/>
        </w:rPr>
      </w:pPr>
      <w:bookmarkStart w:id="0" w:name="_Hlk63156708"/>
    </w:p>
    <w:p w14:paraId="76A9B458" w14:textId="77777777" w:rsidR="00DB0008" w:rsidRDefault="00DB0008" w:rsidP="00DB0008">
      <w:pPr>
        <w:spacing w:after="0" w:line="240" w:lineRule="auto"/>
        <w:jc w:val="center"/>
        <w:rPr>
          <w:rFonts w:ascii="Times New Roman" w:eastAsia="SimSun" w:hAnsi="Times New Roman" w:cs="Times New Roman"/>
          <w:b/>
          <w:sz w:val="24"/>
          <w:szCs w:val="24"/>
          <w:lang w:eastAsia="zh-CN"/>
        </w:rPr>
      </w:pPr>
      <w:r>
        <w:rPr>
          <w:rFonts w:ascii="Times New Roman" w:eastAsia="SimSun" w:hAnsi="Times New Roman" w:cs="Times New Roman"/>
          <w:b/>
          <w:sz w:val="24"/>
          <w:szCs w:val="24"/>
          <w:lang w:eastAsia="zh-CN"/>
        </w:rPr>
        <w:t>Agenda</w:t>
      </w:r>
    </w:p>
    <w:p w14:paraId="67787D8A" w14:textId="77777777" w:rsidR="00DB0008" w:rsidRDefault="00DB0008" w:rsidP="00DB0008">
      <w:pPr>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D.C. OFFICE OF EMPLOYEE APPEALS (“OEA”) BOARD MEETING</w:t>
      </w:r>
    </w:p>
    <w:p w14:paraId="147514CA" w14:textId="77777777" w:rsidR="00DB0008" w:rsidRDefault="00DB0008" w:rsidP="00DB0008">
      <w:pPr>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Thursday, June 17, 2021 at 11:00 a.m.</w:t>
      </w:r>
    </w:p>
    <w:p w14:paraId="6AAB544F" w14:textId="77777777" w:rsidR="00DB0008" w:rsidRDefault="00DB0008" w:rsidP="00DB0008">
      <w:pPr>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Location: Virtual Meeting via Webex</w:t>
      </w:r>
    </w:p>
    <w:p w14:paraId="49CE4D1D" w14:textId="77777777" w:rsidR="00DB0008" w:rsidRDefault="00DB0008" w:rsidP="00DB0008">
      <w:pPr>
        <w:numPr>
          <w:ilvl w:val="0"/>
          <w:numId w:val="2"/>
        </w:numPr>
        <w:tabs>
          <w:tab w:val="num" w:pos="450"/>
        </w:tabs>
        <w:spacing w:after="0" w:line="240" w:lineRule="auto"/>
        <w:ind w:hanging="1080"/>
        <w:contextualSpacing/>
        <w:jc w:val="both"/>
        <w:rPr>
          <w:rFonts w:ascii="Times New Roman" w:eastAsia="SimSun" w:hAnsi="Times New Roman" w:cs="Times New Roman"/>
          <w:lang w:eastAsia="zh-CN"/>
        </w:rPr>
      </w:pPr>
      <w:r>
        <w:rPr>
          <w:rFonts w:ascii="Times New Roman" w:eastAsia="SimSun" w:hAnsi="Times New Roman" w:cs="Times New Roman"/>
          <w:b/>
          <w:lang w:eastAsia="zh-CN"/>
        </w:rPr>
        <w:t xml:space="preserve">Call to Order </w:t>
      </w:r>
    </w:p>
    <w:p w14:paraId="0A713964" w14:textId="77777777" w:rsidR="00DB0008" w:rsidRDefault="00DB0008" w:rsidP="00DB0008">
      <w:pPr>
        <w:spacing w:after="0" w:line="240" w:lineRule="auto"/>
        <w:ind w:left="1080"/>
        <w:contextualSpacing/>
        <w:jc w:val="both"/>
        <w:rPr>
          <w:rFonts w:ascii="Times New Roman" w:eastAsia="SimSun" w:hAnsi="Times New Roman" w:cs="Times New Roman"/>
          <w:sz w:val="12"/>
          <w:szCs w:val="12"/>
          <w:lang w:eastAsia="zh-CN"/>
        </w:rPr>
      </w:pPr>
    </w:p>
    <w:p w14:paraId="34B35B5D" w14:textId="77777777" w:rsidR="00DB0008" w:rsidRDefault="00DB0008" w:rsidP="00DB0008">
      <w:pPr>
        <w:numPr>
          <w:ilvl w:val="0"/>
          <w:numId w:val="2"/>
        </w:numPr>
        <w:tabs>
          <w:tab w:val="num" w:pos="450"/>
          <w:tab w:val="num" w:pos="720"/>
          <w:tab w:val="left" w:pos="900"/>
        </w:tabs>
        <w:spacing w:after="0" w:line="240" w:lineRule="auto"/>
        <w:ind w:hanging="1080"/>
        <w:contextualSpacing/>
        <w:jc w:val="both"/>
        <w:rPr>
          <w:rFonts w:ascii="Times New Roman" w:eastAsia="SimSun" w:hAnsi="Times New Roman" w:cs="Times New Roman"/>
          <w:lang w:eastAsia="zh-CN"/>
        </w:rPr>
      </w:pPr>
      <w:r>
        <w:rPr>
          <w:rFonts w:ascii="Times New Roman" w:eastAsia="SimSun" w:hAnsi="Times New Roman" w:cs="Times New Roman"/>
          <w:b/>
          <w:lang w:eastAsia="zh-CN"/>
        </w:rPr>
        <w:t>Ascertainment of Quorum</w:t>
      </w:r>
    </w:p>
    <w:p w14:paraId="5FC4D4CD" w14:textId="77777777" w:rsidR="00DB0008" w:rsidRDefault="00DB0008" w:rsidP="00DB0008">
      <w:pPr>
        <w:spacing w:after="0" w:line="240" w:lineRule="auto"/>
        <w:ind w:left="720"/>
        <w:contextualSpacing/>
        <w:rPr>
          <w:rFonts w:ascii="Times New Roman" w:eastAsia="SimSun" w:hAnsi="Times New Roman" w:cs="Times New Roman"/>
          <w:sz w:val="12"/>
          <w:szCs w:val="12"/>
          <w:lang w:eastAsia="zh-CN"/>
        </w:rPr>
      </w:pPr>
    </w:p>
    <w:p w14:paraId="1D24AA65" w14:textId="77777777" w:rsidR="00DB0008" w:rsidRDefault="00DB0008" w:rsidP="00DB0008">
      <w:pPr>
        <w:numPr>
          <w:ilvl w:val="0"/>
          <w:numId w:val="2"/>
        </w:numPr>
        <w:tabs>
          <w:tab w:val="num" w:pos="450"/>
        </w:tabs>
        <w:spacing w:after="0" w:line="240" w:lineRule="auto"/>
        <w:ind w:hanging="1080"/>
        <w:contextualSpacing/>
        <w:jc w:val="both"/>
        <w:rPr>
          <w:rFonts w:ascii="Times New Roman" w:eastAsia="SimSun" w:hAnsi="Times New Roman" w:cs="Times New Roman"/>
          <w:b/>
          <w:lang w:eastAsia="zh-CN"/>
        </w:rPr>
      </w:pPr>
      <w:r>
        <w:rPr>
          <w:rFonts w:ascii="Times New Roman" w:eastAsia="SimSun" w:hAnsi="Times New Roman" w:cs="Times New Roman"/>
          <w:b/>
          <w:lang w:eastAsia="zh-CN"/>
        </w:rPr>
        <w:t>Adoption of Agenda</w:t>
      </w:r>
    </w:p>
    <w:p w14:paraId="22A9AA14" w14:textId="77777777" w:rsidR="00DB0008" w:rsidRDefault="00DB0008" w:rsidP="00DB0008">
      <w:pPr>
        <w:spacing w:after="0" w:line="240" w:lineRule="auto"/>
        <w:ind w:left="1080"/>
        <w:contextualSpacing/>
        <w:jc w:val="both"/>
        <w:rPr>
          <w:rFonts w:ascii="Times New Roman" w:eastAsia="SimSun" w:hAnsi="Times New Roman" w:cs="Times New Roman"/>
          <w:sz w:val="12"/>
          <w:szCs w:val="12"/>
          <w:lang w:eastAsia="zh-CN"/>
        </w:rPr>
      </w:pPr>
    </w:p>
    <w:p w14:paraId="61EE7C62" w14:textId="77777777" w:rsidR="00DB0008" w:rsidRDefault="00DB0008" w:rsidP="00DB0008">
      <w:pPr>
        <w:numPr>
          <w:ilvl w:val="0"/>
          <w:numId w:val="2"/>
        </w:numPr>
        <w:tabs>
          <w:tab w:val="num" w:pos="450"/>
        </w:tabs>
        <w:spacing w:after="0" w:line="240" w:lineRule="auto"/>
        <w:ind w:hanging="1080"/>
        <w:jc w:val="both"/>
        <w:rPr>
          <w:rFonts w:ascii="Times New Roman" w:eastAsia="SimSun" w:hAnsi="Times New Roman" w:cs="Times New Roman"/>
          <w:b/>
          <w:lang w:eastAsia="zh-CN"/>
        </w:rPr>
      </w:pPr>
      <w:r>
        <w:rPr>
          <w:rFonts w:ascii="Times New Roman" w:eastAsia="SimSun" w:hAnsi="Times New Roman" w:cs="Times New Roman"/>
          <w:b/>
          <w:lang w:eastAsia="zh-CN"/>
        </w:rPr>
        <w:t>Minutes Reviewed from Previous Meeting</w:t>
      </w:r>
    </w:p>
    <w:p w14:paraId="1526A182" w14:textId="77777777" w:rsidR="00DB0008" w:rsidRDefault="00DB0008" w:rsidP="00DB0008">
      <w:pPr>
        <w:tabs>
          <w:tab w:val="left" w:pos="1133"/>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rPr>
        <w:tab/>
      </w:r>
    </w:p>
    <w:p w14:paraId="060EACE8" w14:textId="77777777" w:rsidR="00DB0008" w:rsidRDefault="00DB0008" w:rsidP="00DB0008">
      <w:pPr>
        <w:numPr>
          <w:ilvl w:val="0"/>
          <w:numId w:val="2"/>
        </w:numPr>
        <w:tabs>
          <w:tab w:val="num" w:pos="450"/>
        </w:tabs>
        <w:spacing w:after="0" w:line="240" w:lineRule="auto"/>
        <w:ind w:hanging="1080"/>
        <w:contextualSpacing/>
        <w:jc w:val="both"/>
        <w:rPr>
          <w:rFonts w:ascii="Times New Roman" w:eastAsia="SimSun" w:hAnsi="Times New Roman" w:cs="Times New Roman"/>
          <w:b/>
          <w:lang w:eastAsia="zh-CN"/>
        </w:rPr>
      </w:pPr>
      <w:r>
        <w:rPr>
          <w:rFonts w:ascii="Times New Roman" w:eastAsia="SimSun" w:hAnsi="Times New Roman" w:cs="Times New Roman"/>
          <w:b/>
          <w:lang w:eastAsia="zh-CN"/>
        </w:rPr>
        <w:t>New Business</w:t>
      </w:r>
    </w:p>
    <w:p w14:paraId="7C0BE7FD" w14:textId="77777777" w:rsidR="00DB0008" w:rsidRDefault="00DB0008" w:rsidP="00DB0008">
      <w:pPr>
        <w:spacing w:after="0" w:line="240" w:lineRule="auto"/>
        <w:contextualSpacing/>
        <w:jc w:val="both"/>
        <w:rPr>
          <w:rFonts w:ascii="Times New Roman" w:eastAsia="SimSun" w:hAnsi="Times New Roman" w:cs="Times New Roman"/>
          <w:sz w:val="12"/>
          <w:szCs w:val="12"/>
          <w:lang w:eastAsia="zh-CN"/>
        </w:rPr>
      </w:pPr>
    </w:p>
    <w:p w14:paraId="6FCFDF73" w14:textId="77777777" w:rsidR="00DB0008" w:rsidRDefault="00DB0008" w:rsidP="00DB0008">
      <w:pPr>
        <w:numPr>
          <w:ilvl w:val="1"/>
          <w:numId w:val="2"/>
        </w:numPr>
        <w:tabs>
          <w:tab w:val="num" w:pos="900"/>
        </w:tabs>
        <w:spacing w:after="0" w:line="240" w:lineRule="auto"/>
        <w:ind w:hanging="990"/>
        <w:contextualSpacing/>
        <w:jc w:val="both"/>
        <w:rPr>
          <w:rFonts w:ascii="Times New Roman" w:eastAsia="SimSun" w:hAnsi="Times New Roman" w:cs="Times New Roman"/>
          <w:b/>
          <w:lang w:eastAsia="zh-CN"/>
        </w:rPr>
      </w:pPr>
      <w:r>
        <w:rPr>
          <w:rFonts w:ascii="Times New Roman" w:eastAsia="SimSun" w:hAnsi="Times New Roman" w:cs="Times New Roman"/>
          <w:b/>
          <w:lang w:eastAsia="zh-CN"/>
        </w:rPr>
        <w:t>Public Comments on Petitions for Review</w:t>
      </w:r>
    </w:p>
    <w:p w14:paraId="14BC3970" w14:textId="77777777" w:rsidR="00DB0008" w:rsidRDefault="00DB0008" w:rsidP="00DB0008">
      <w:pPr>
        <w:spacing w:after="0" w:line="240" w:lineRule="auto"/>
        <w:ind w:left="1440"/>
        <w:contextualSpacing/>
        <w:jc w:val="both"/>
        <w:rPr>
          <w:rFonts w:ascii="Times New Roman" w:eastAsia="SimSun" w:hAnsi="Times New Roman" w:cs="Times New Roman"/>
          <w:b/>
          <w:sz w:val="12"/>
          <w:szCs w:val="12"/>
          <w:lang w:eastAsia="zh-CN"/>
        </w:rPr>
      </w:pPr>
    </w:p>
    <w:p w14:paraId="13F43E81" w14:textId="77777777" w:rsidR="00DB0008" w:rsidRDefault="00DB0008" w:rsidP="00DB0008">
      <w:pPr>
        <w:numPr>
          <w:ilvl w:val="1"/>
          <w:numId w:val="2"/>
        </w:numPr>
        <w:tabs>
          <w:tab w:val="num" w:pos="900"/>
        </w:tabs>
        <w:spacing w:after="0" w:line="240" w:lineRule="auto"/>
        <w:ind w:hanging="990"/>
        <w:contextualSpacing/>
        <w:jc w:val="both"/>
        <w:rPr>
          <w:rFonts w:ascii="Times New Roman" w:eastAsia="SimSun" w:hAnsi="Times New Roman" w:cs="Times New Roman"/>
          <w:b/>
          <w:lang w:eastAsia="zh-CN"/>
        </w:rPr>
      </w:pPr>
      <w:r>
        <w:rPr>
          <w:rFonts w:ascii="Times New Roman" w:eastAsia="SimSun" w:hAnsi="Times New Roman" w:cs="Times New Roman"/>
          <w:b/>
          <w:lang w:eastAsia="zh-CN"/>
        </w:rPr>
        <w:t xml:space="preserve">Summary of Cases </w:t>
      </w:r>
    </w:p>
    <w:p w14:paraId="1C0E92EA" w14:textId="77777777" w:rsidR="00DB0008" w:rsidRPr="009F11FB" w:rsidRDefault="00DB0008" w:rsidP="00DB0008">
      <w:pPr>
        <w:spacing w:line="240" w:lineRule="auto"/>
        <w:ind w:left="446"/>
        <w:contextualSpacing/>
        <w:jc w:val="both"/>
        <w:rPr>
          <w:rFonts w:ascii="Times New Roman" w:hAnsi="Times New Roman" w:cs="Times New Roman"/>
          <w:b/>
          <w:sz w:val="12"/>
          <w:szCs w:val="12"/>
        </w:rPr>
      </w:pPr>
    </w:p>
    <w:p w14:paraId="7626C963" w14:textId="77777777" w:rsidR="00DB0008" w:rsidRDefault="00DB0008" w:rsidP="00DB0008">
      <w:pPr>
        <w:shd w:val="clear" w:color="auto" w:fill="FFFFFF"/>
        <w:spacing w:after="0" w:line="240" w:lineRule="auto"/>
        <w:contextualSpacing/>
        <w:jc w:val="both"/>
        <w:textAlignment w:val="baseline"/>
        <w:outlineLvl w:val="1"/>
        <w:rPr>
          <w:rFonts w:ascii="Times New Roman" w:eastAsia="Times New Roman" w:hAnsi="Times New Roman" w:cs="Times New Roman"/>
        </w:rPr>
      </w:pPr>
      <w:r w:rsidRPr="000638FC">
        <w:rPr>
          <w:rFonts w:ascii="Times New Roman" w:hAnsi="Times New Roman" w:cs="Times New Roman"/>
          <w:b/>
        </w:rPr>
        <w:t xml:space="preserve">1.  Employee v. Department of Small and Local Business Development, OEA Matter No. </w:t>
      </w:r>
      <w:r w:rsidRPr="000638FC">
        <w:rPr>
          <w:rFonts w:ascii="Times New Roman" w:eastAsia="Times New Roman" w:hAnsi="Times New Roman" w:cs="Times New Roman"/>
          <w:b/>
        </w:rPr>
        <w:t>J-0009-18R20</w:t>
      </w:r>
      <w:r w:rsidRPr="000638FC">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E6188D">
        <w:rPr>
          <w:rFonts w:ascii="Times New Roman" w:eastAsia="Times New Roman" w:hAnsi="Times New Roman" w:cs="Times New Roman"/>
          <w:bCs/>
          <w:color w:val="222222"/>
        </w:rPr>
        <w:t xml:space="preserve">This matter has been previously before the Office of Employee Appeals’ Board. </w:t>
      </w:r>
      <w:r w:rsidRPr="00E6188D">
        <w:rPr>
          <w:rFonts w:ascii="Times New Roman" w:eastAsia="Times New Roman" w:hAnsi="Times New Roman" w:cs="Times New Roman"/>
        </w:rPr>
        <w:t>Employee worked as an Administrative Officer with the Department of Small and Local Business Development. On September 11, 2017, Employee received a notice that she would be terminated by Agency</w:t>
      </w:r>
      <w:r>
        <w:rPr>
          <w:rFonts w:ascii="Times New Roman" w:eastAsia="Times New Roman" w:hAnsi="Times New Roman" w:cs="Times New Roman"/>
        </w:rPr>
        <w:t xml:space="preserve"> </w:t>
      </w:r>
      <w:r w:rsidRPr="00E6188D">
        <w:rPr>
          <w:rFonts w:ascii="Times New Roman" w:eastAsia="Times New Roman" w:hAnsi="Times New Roman" w:cs="Times New Roman"/>
        </w:rPr>
        <w:t>effective October 9, 2017.</w:t>
      </w:r>
    </w:p>
    <w:p w14:paraId="4908C583" w14:textId="77777777" w:rsidR="00DB0008" w:rsidRPr="00E6188D" w:rsidRDefault="00DB0008" w:rsidP="00DB0008">
      <w:pPr>
        <w:shd w:val="clear" w:color="auto" w:fill="FFFFFF"/>
        <w:spacing w:after="0" w:line="240" w:lineRule="auto"/>
        <w:contextualSpacing/>
        <w:jc w:val="both"/>
        <w:textAlignment w:val="baseline"/>
        <w:outlineLvl w:val="1"/>
        <w:rPr>
          <w:rFonts w:ascii="Times New Roman" w:eastAsia="Times New Roman" w:hAnsi="Times New Roman" w:cs="Times New Roman"/>
          <w:sz w:val="12"/>
          <w:szCs w:val="12"/>
        </w:rPr>
      </w:pPr>
      <w:r w:rsidRPr="00E6188D">
        <w:rPr>
          <w:rFonts w:ascii="Times New Roman" w:eastAsia="Times New Roman" w:hAnsi="Times New Roman" w:cs="Times New Roman"/>
        </w:rPr>
        <w:t xml:space="preserve">   </w:t>
      </w:r>
    </w:p>
    <w:p w14:paraId="708E17D1" w14:textId="77777777" w:rsidR="00DB0008" w:rsidRDefault="00DB0008" w:rsidP="00DB0008">
      <w:pPr>
        <w:widowControl w:val="0"/>
        <w:spacing w:after="0" w:line="240" w:lineRule="auto"/>
        <w:contextualSpacing/>
        <w:jc w:val="both"/>
        <w:rPr>
          <w:rFonts w:ascii="Times New Roman" w:eastAsia="Calibri" w:hAnsi="Times New Roman" w:cs="Times New Roman"/>
        </w:rPr>
      </w:pPr>
      <w:r w:rsidRPr="00E6188D">
        <w:rPr>
          <w:rFonts w:ascii="Times New Roman" w:eastAsia="Times New Roman" w:hAnsi="Times New Roman" w:cs="Times New Roman"/>
        </w:rPr>
        <w:t xml:space="preserve">On January 29, 2018, the Administrative Judge </w:t>
      </w:r>
      <w:r>
        <w:rPr>
          <w:rFonts w:ascii="Times New Roman" w:eastAsia="Times New Roman" w:hAnsi="Times New Roman" w:cs="Times New Roman"/>
        </w:rPr>
        <w:t xml:space="preserve">(“AJ”) </w:t>
      </w:r>
      <w:r w:rsidRPr="00E6188D">
        <w:rPr>
          <w:rFonts w:ascii="Times New Roman" w:eastAsia="Times New Roman" w:hAnsi="Times New Roman" w:cs="Times New Roman"/>
        </w:rPr>
        <w:t>issued her Initial Decision</w:t>
      </w:r>
      <w:r>
        <w:rPr>
          <w:rFonts w:ascii="Times New Roman" w:eastAsia="Times New Roman" w:hAnsi="Times New Roman" w:cs="Times New Roman"/>
        </w:rPr>
        <w:t xml:space="preserve">. She held that </w:t>
      </w:r>
      <w:r w:rsidRPr="00590CC0">
        <w:rPr>
          <w:rFonts w:ascii="Times New Roman" w:hAnsi="Times New Roman" w:cs="Times New Roman"/>
        </w:rPr>
        <w:t>Employee</w:t>
      </w:r>
      <w:r w:rsidRPr="00C03796">
        <w:rPr>
          <w:rFonts w:ascii="Times New Roman" w:hAnsi="Times New Roman" w:cs="Times New Roman"/>
        </w:rPr>
        <w:t xml:space="preserve">’s </w:t>
      </w:r>
      <w:r w:rsidRPr="00C03796">
        <w:rPr>
          <w:rFonts w:ascii="Times New Roman" w:hAnsi="Times New Roman" w:cs="Times New Roman"/>
        </w:rPr>
        <w:lastRenderedPageBreak/>
        <w:t>appointment was through open enrollment in a different line of work; thus, she</w:t>
      </w:r>
      <w:r w:rsidRPr="00590CC0">
        <w:rPr>
          <w:rFonts w:ascii="Times New Roman" w:hAnsi="Times New Roman" w:cs="Times New Roman"/>
        </w:rPr>
        <w:t xml:space="preserve"> was required to serve a second probationary period.</w:t>
      </w:r>
      <w:r>
        <w:rPr>
          <w:rFonts w:ascii="Times New Roman" w:eastAsia="Times New Roman" w:hAnsi="Times New Roman" w:cs="Times New Roman"/>
        </w:rPr>
        <w:t xml:space="preserve">  Therefore, her appeal was dismissed. </w:t>
      </w:r>
      <w:r w:rsidRPr="00E6188D">
        <w:rPr>
          <w:rFonts w:ascii="Times New Roman" w:eastAsia="Times New Roman" w:hAnsi="Times New Roman" w:cs="Times New Roman"/>
        </w:rPr>
        <w:t xml:space="preserve"> </w:t>
      </w:r>
      <w:r w:rsidRPr="00E6188D">
        <w:rPr>
          <w:rFonts w:ascii="Times New Roman" w:eastAsia="Times New Roman" w:hAnsi="Times New Roman" w:cs="Times New Roman"/>
          <w:bCs/>
          <w:color w:val="222222"/>
        </w:rPr>
        <w:t xml:space="preserve">Employee filed a Petition for Review of the Initial Decision. </w:t>
      </w:r>
      <w:r w:rsidRPr="00E6188D">
        <w:rPr>
          <w:rFonts w:ascii="Times New Roman" w:eastAsia="Calibri" w:hAnsi="Times New Roman" w:cs="Times New Roman"/>
        </w:rPr>
        <w:t xml:space="preserve">In her petition, Employee submitted a document titled </w:t>
      </w:r>
      <w:bookmarkStart w:id="1" w:name="_Hlk37063804"/>
      <w:r w:rsidRPr="00E6188D">
        <w:rPr>
          <w:rFonts w:ascii="Times New Roman" w:eastAsia="Calibri" w:hAnsi="Times New Roman" w:cs="Times New Roman"/>
        </w:rPr>
        <w:t>“Checklist for Submissions of Competitive &amp; Non-Competitive Recruitment Actions to DCHR/Priority Consideration Clearance for Non-Competitive Term Appointments.”</w:t>
      </w:r>
      <w:bookmarkStart w:id="2" w:name="_Hlk36558350"/>
      <w:bookmarkEnd w:id="1"/>
      <w:r>
        <w:rPr>
          <w:rFonts w:ascii="Times New Roman" w:eastAsia="Calibri" w:hAnsi="Times New Roman" w:cs="Times New Roman"/>
        </w:rPr>
        <w:t xml:space="preserve"> </w:t>
      </w:r>
      <w:r w:rsidRPr="00E6188D">
        <w:rPr>
          <w:rFonts w:ascii="Times New Roman" w:eastAsia="Calibri" w:hAnsi="Times New Roman" w:cs="Times New Roman"/>
        </w:rPr>
        <w:t xml:space="preserve">The OEA Board </w:t>
      </w:r>
      <w:bookmarkEnd w:id="2"/>
      <w:r w:rsidRPr="00E6188D">
        <w:rPr>
          <w:rFonts w:ascii="Times New Roman" w:eastAsia="Calibri" w:hAnsi="Times New Roman" w:cs="Times New Roman"/>
        </w:rPr>
        <w:t>held that because the Administrative Officer position was listed as a non-competitive appointment, Employee’s appointment may not have been t</w:t>
      </w:r>
      <w:r>
        <w:rPr>
          <w:rFonts w:ascii="Times New Roman" w:eastAsia="Calibri" w:hAnsi="Times New Roman" w:cs="Times New Roman"/>
        </w:rPr>
        <w:t xml:space="preserve">he result of open competition. </w:t>
      </w:r>
      <w:r w:rsidRPr="00E6188D">
        <w:rPr>
          <w:rFonts w:ascii="Times New Roman" w:eastAsia="Calibri" w:hAnsi="Times New Roman" w:cs="Times New Roman"/>
        </w:rPr>
        <w:t xml:space="preserve">Thus, the Board ruled that there was not substantial evidence in the record to support the AJ’s ruling regarding open competition. </w:t>
      </w:r>
      <w:r w:rsidRPr="00E6188D">
        <w:rPr>
          <w:rFonts w:ascii="Times New Roman" w:eastAsia="Times New Roman" w:hAnsi="Times New Roman" w:cs="Times New Roman"/>
        </w:rPr>
        <w:t>Therefore</w:t>
      </w:r>
      <w:r w:rsidRPr="00E6188D">
        <w:rPr>
          <w:rFonts w:ascii="Times New Roman" w:eastAsia="Calibri" w:hAnsi="Times New Roman" w:cs="Times New Roman"/>
        </w:rPr>
        <w:t>, it remanded the matter to the Administrative Judge for consideration of the case on its merits.</w:t>
      </w:r>
    </w:p>
    <w:p w14:paraId="163495FA" w14:textId="77777777" w:rsidR="00DB0008" w:rsidRPr="00E6188D" w:rsidRDefault="00DB0008" w:rsidP="00DB0008">
      <w:pPr>
        <w:widowControl w:val="0"/>
        <w:spacing w:after="0" w:line="240" w:lineRule="auto"/>
        <w:contextualSpacing/>
        <w:jc w:val="both"/>
        <w:rPr>
          <w:rFonts w:ascii="Times New Roman" w:eastAsia="Times New Roman" w:hAnsi="Times New Roman" w:cs="Times New Roman"/>
          <w:sz w:val="12"/>
          <w:szCs w:val="12"/>
        </w:rPr>
      </w:pPr>
      <w:r w:rsidRPr="00E6188D">
        <w:rPr>
          <w:rFonts w:ascii="Times New Roman" w:eastAsia="Calibri" w:hAnsi="Times New Roman" w:cs="Times New Roman"/>
        </w:rPr>
        <w:t xml:space="preserve">  </w:t>
      </w:r>
    </w:p>
    <w:p w14:paraId="7A6A64C5" w14:textId="77777777" w:rsidR="00DB0008" w:rsidRPr="00E6188D" w:rsidRDefault="00DB0008" w:rsidP="00DB0008">
      <w:pPr>
        <w:pStyle w:val="NoSpacing"/>
        <w:contextualSpacing/>
        <w:jc w:val="both"/>
        <w:rPr>
          <w:rFonts w:eastAsia="Calibri"/>
        </w:rPr>
      </w:pPr>
      <w:r w:rsidRPr="00E6188D">
        <w:rPr>
          <w:rFonts w:eastAsia="Calibri"/>
        </w:rPr>
        <w:t>The AJ issued an Initial Decision on Remand on May 29, 2020. She held that Agency did not have cause to terminate Employee, and it did not consider relevant factors before removing Employee. As a result, she ordered that Agency’s action be reversed and that it reinstate Employee and provide back pay and benefits lost as the result of her removal.</w:t>
      </w:r>
      <w:r>
        <w:rPr>
          <w:rFonts w:eastAsia="Calibri"/>
        </w:rPr>
        <w:t xml:space="preserve"> </w:t>
      </w:r>
      <w:r w:rsidRPr="00E6188D">
        <w:rPr>
          <w:rFonts w:eastAsia="Calibri"/>
        </w:rPr>
        <w:t xml:space="preserve">On September 21, 2020, Employee filed a Petition for Enforcement. She provided that Agency’s General Counsel informed her that she would not be reinstated because she was a term employee, and her term expired. Subsequently, the AJ held a status conference to determine Agency’s compliance with the Initial Decision on Remand.  </w:t>
      </w:r>
    </w:p>
    <w:p w14:paraId="5EA8C84F" w14:textId="77777777" w:rsidR="00DB0008" w:rsidRPr="00E6188D" w:rsidRDefault="00DB0008" w:rsidP="00DB0008">
      <w:pPr>
        <w:pStyle w:val="NoSpacing"/>
        <w:contextualSpacing/>
        <w:jc w:val="both"/>
        <w:rPr>
          <w:rFonts w:eastAsia="Calibri"/>
          <w:sz w:val="12"/>
          <w:szCs w:val="12"/>
        </w:rPr>
      </w:pPr>
    </w:p>
    <w:p w14:paraId="0C196A86" w14:textId="77777777" w:rsidR="00DB0008" w:rsidRPr="00E6188D" w:rsidRDefault="00DB0008" w:rsidP="00DB0008">
      <w:pPr>
        <w:pStyle w:val="NoSpacing"/>
        <w:contextualSpacing/>
        <w:jc w:val="both"/>
        <w:rPr>
          <w:rFonts w:eastAsia="Calibri"/>
        </w:rPr>
      </w:pPr>
      <w:r w:rsidRPr="00E6188D">
        <w:rPr>
          <w:rFonts w:eastAsia="Calibri"/>
        </w:rPr>
        <w:t xml:space="preserve">The Administrative Judge issued an Addendum Decision on Compliance on February 17, 2021. She explained that Employee contended that even though her employment with Agency was a term appointment, upon the expiration of the term, she should have reverted to her previously held position at the District of Columbia Human Resources. The AJ opined that the final order issued by OEA was to reinstate Employee to her previous position of record within the Department of Small and Local Business.  She found that Employee forfeited her Career Service, permanent appointment at DCHR for a term appointment position with Agency. Consequently, the AJ held that because Agency decided not to extend Employee’s term appointment past the designated end date, it was not required to reinstate Employee.  Accordingly, she ordered that Agency reimburse Employee back pay and benefits from the time </w:t>
      </w:r>
    </w:p>
    <w:p w14:paraId="461858C4" w14:textId="77777777" w:rsidR="00DB0008" w:rsidRDefault="00DB0008" w:rsidP="00DB0008">
      <w:pPr>
        <w:pStyle w:val="NoSpacing"/>
        <w:contextualSpacing/>
        <w:jc w:val="both"/>
        <w:rPr>
          <w:rFonts w:eastAsia="Calibri"/>
        </w:rPr>
      </w:pPr>
      <w:r w:rsidRPr="00E6188D">
        <w:rPr>
          <w:rFonts w:eastAsia="Calibri"/>
        </w:rPr>
        <w:t>she was wrongfully terminated until the expiration date of her term appointment date.</w:t>
      </w:r>
    </w:p>
    <w:p w14:paraId="2F1238FC" w14:textId="77777777" w:rsidR="00DB0008" w:rsidRPr="00E6188D" w:rsidRDefault="00DB0008" w:rsidP="00DB0008">
      <w:pPr>
        <w:pStyle w:val="NoSpacing"/>
        <w:contextualSpacing/>
        <w:jc w:val="both"/>
        <w:rPr>
          <w:rFonts w:eastAsia="Calibri"/>
          <w:sz w:val="12"/>
          <w:szCs w:val="12"/>
        </w:rPr>
      </w:pPr>
      <w:r w:rsidRPr="00E6188D">
        <w:rPr>
          <w:rFonts w:eastAsia="Calibri"/>
        </w:rPr>
        <w:t xml:space="preserve">  </w:t>
      </w:r>
    </w:p>
    <w:p w14:paraId="6920F6F5" w14:textId="77777777" w:rsidR="00DB0008" w:rsidRDefault="00DB0008" w:rsidP="00DB0008">
      <w:pPr>
        <w:pStyle w:val="NoSpacing"/>
        <w:contextualSpacing/>
        <w:jc w:val="both"/>
        <w:rPr>
          <w:bCs/>
          <w:color w:val="222222"/>
        </w:rPr>
      </w:pPr>
      <w:r w:rsidRPr="00E6188D">
        <w:rPr>
          <w:rFonts w:eastAsia="Calibri"/>
        </w:rPr>
        <w:t xml:space="preserve">In response to the Addendum Decision on Compliance, Agency submitted a Statement Regarding Compliance on March 22, 2021. It acknowledged that it had not reimbursed Employee’s back pay and benefits, although it had made every effort to do so. Agency argued that pursuant to DPM § 1149.12, it was required to deduct any amount earned by employee from other employment during the period covered by the corrected personnel action from the back pay and benefits award. As a result, it requested </w:t>
      </w:r>
      <w:r w:rsidRPr="00E6188D">
        <w:rPr>
          <w:bCs/>
          <w:color w:val="222222"/>
        </w:rPr>
        <w:t>an affidavit of outside earnings and erroneous payment; a benefits restoration agreement; and a transcript of tax returns from Employee. However, Agency argued that Employee failed to provi</w:t>
      </w:r>
      <w:r>
        <w:rPr>
          <w:bCs/>
          <w:color w:val="222222"/>
        </w:rPr>
        <w:t xml:space="preserve">de the required documentation. </w:t>
      </w:r>
      <w:r w:rsidRPr="00E6188D">
        <w:rPr>
          <w:bCs/>
          <w:color w:val="222222"/>
        </w:rPr>
        <w:t>Accordingly, it requested that it be excused from the thirty-day compliance deadline imposed in the Addendum Decision on Compliance.</w:t>
      </w:r>
    </w:p>
    <w:p w14:paraId="30AF05EC" w14:textId="77777777" w:rsidR="00DB0008" w:rsidRPr="00E6188D" w:rsidRDefault="00DB0008" w:rsidP="00DB0008">
      <w:pPr>
        <w:pStyle w:val="NoSpacing"/>
        <w:contextualSpacing/>
        <w:jc w:val="both"/>
        <w:rPr>
          <w:bCs/>
          <w:color w:val="222222"/>
          <w:sz w:val="12"/>
          <w:szCs w:val="12"/>
        </w:rPr>
      </w:pPr>
      <w:r w:rsidRPr="00E6188D">
        <w:rPr>
          <w:bCs/>
          <w:color w:val="222222"/>
        </w:rPr>
        <w:t xml:space="preserve">  </w:t>
      </w:r>
    </w:p>
    <w:p w14:paraId="4582FE4F" w14:textId="77777777" w:rsidR="00DB0008" w:rsidRDefault="00DB0008" w:rsidP="00DB0008">
      <w:pPr>
        <w:pStyle w:val="NoSpacing"/>
        <w:contextualSpacing/>
        <w:jc w:val="both"/>
        <w:rPr>
          <w:bCs/>
          <w:color w:val="222222"/>
        </w:rPr>
      </w:pPr>
      <w:r w:rsidRPr="00E6188D">
        <w:rPr>
          <w:bCs/>
          <w:color w:val="222222"/>
        </w:rPr>
        <w:t>On March 23, 2021, Employee filed a Petition for Review. She argues that she previously worked at DCHR as a Career permanent employee</w:t>
      </w:r>
      <w:r>
        <w:rPr>
          <w:bCs/>
          <w:color w:val="222222"/>
        </w:rPr>
        <w:t xml:space="preserve">. </w:t>
      </w:r>
      <w:r w:rsidRPr="00E6188D">
        <w:rPr>
          <w:bCs/>
          <w:color w:val="222222"/>
        </w:rPr>
        <w:t>Subsequently, she accepted a new position with Agency with an increased salary, at a different work site, and as a term employee. However, Employee asserts that when her term appointment expired, she was entitled to revert to her previous Career permanent status. It is Employee’s position that a promotion from one District government agency to another was considered an internal placement and triggered her Career permanent protections. As a result, she requests that this Board reverse the Addendum Decision on Compliance and order that she be reinstated to a Career permanent position.</w:t>
      </w:r>
    </w:p>
    <w:p w14:paraId="4D62F2CB" w14:textId="77777777" w:rsidR="00DB0008" w:rsidRPr="001B59B0" w:rsidRDefault="00DB0008" w:rsidP="00DB0008">
      <w:pPr>
        <w:pStyle w:val="NoSpacing"/>
        <w:contextualSpacing/>
        <w:jc w:val="both"/>
        <w:rPr>
          <w:bCs/>
          <w:color w:val="222222"/>
          <w:sz w:val="12"/>
          <w:szCs w:val="12"/>
        </w:rPr>
      </w:pPr>
    </w:p>
    <w:p w14:paraId="68092445" w14:textId="77777777" w:rsidR="00DB0008" w:rsidRPr="00E6188D" w:rsidRDefault="00DB0008" w:rsidP="00DB0008">
      <w:pPr>
        <w:pStyle w:val="NoSpacing"/>
        <w:contextualSpacing/>
        <w:jc w:val="both"/>
      </w:pPr>
      <w:r w:rsidRPr="00E6188D">
        <w:rPr>
          <w:rFonts w:eastAsia="Calibri"/>
        </w:rPr>
        <w:lastRenderedPageBreak/>
        <w:t>Agency filed an Opposition to Employee’s Petition for Review on April 27, 2021. It argues that the OEA Board lacks jurisdiction to review Employee’s petition. Agency contends that the Board can review initial decisions but not decisions on compliance. Moreover, Agency explains that Employee resigned from her position with DCHR and accepted a new position with Agency under a term appointment.  It opines that in accordance with DPM sections 823 and 826, an employee hired under a term appointment cannot be converted to a permanent appointment if the initial appointment was made non-competitively. Agency reasons that given the previous decisions issued in this case, it is undisputed that Employee was hired non-competitively, under a term appointment. Therefore, it is required to reimburse Employee back pay and benefits through the expiration</w:t>
      </w:r>
      <w:r>
        <w:rPr>
          <w:rFonts w:eastAsia="Calibri"/>
        </w:rPr>
        <w:t xml:space="preserve"> of her term appointment date. </w:t>
      </w:r>
      <w:r w:rsidRPr="00E6188D">
        <w:rPr>
          <w:rFonts w:eastAsia="Calibri"/>
        </w:rPr>
        <w:t xml:space="preserve">Accordingly, it requests that this Board deny Employee’s petition.   </w:t>
      </w:r>
      <w:r>
        <w:rPr>
          <w:rFonts w:eastAsia="Calibri"/>
        </w:rPr>
        <w:t xml:space="preserve">Subsequent opposition motions were filed by both parties.  </w:t>
      </w:r>
    </w:p>
    <w:p w14:paraId="41C152B1" w14:textId="77777777" w:rsidR="00DB0008" w:rsidRPr="001B59B0" w:rsidRDefault="00DB0008" w:rsidP="00DB0008">
      <w:pPr>
        <w:spacing w:line="240" w:lineRule="auto"/>
        <w:contextualSpacing/>
        <w:jc w:val="both"/>
        <w:rPr>
          <w:rFonts w:ascii="Times New Roman" w:hAnsi="Times New Roman" w:cs="Times New Roman"/>
          <w:b/>
          <w:sz w:val="12"/>
          <w:szCs w:val="12"/>
        </w:rPr>
      </w:pPr>
    </w:p>
    <w:p w14:paraId="308E3229" w14:textId="77777777" w:rsidR="00DB0008" w:rsidRPr="00ED2612" w:rsidRDefault="00DB0008" w:rsidP="00DB0008">
      <w:pPr>
        <w:spacing w:line="240" w:lineRule="auto"/>
        <w:contextualSpacing/>
        <w:jc w:val="both"/>
        <w:rPr>
          <w:rFonts w:ascii="Times New Roman" w:hAnsi="Times New Roman" w:cs="Times New Roman"/>
        </w:rPr>
      </w:pPr>
      <w:r w:rsidRPr="00ED2612">
        <w:rPr>
          <w:rFonts w:ascii="Times New Roman" w:hAnsi="Times New Roman" w:cs="Times New Roman"/>
          <w:b/>
        </w:rPr>
        <w:t xml:space="preserve">2.  </w:t>
      </w:r>
      <w:r w:rsidRPr="00ED2612">
        <w:rPr>
          <w:rFonts w:ascii="Times New Roman" w:eastAsia="Times New Roman" w:hAnsi="Times New Roman" w:cs="Times New Roman"/>
          <w:b/>
        </w:rPr>
        <w:t>Employee v. Department of Forensic Scientist</w:t>
      </w:r>
      <w:r w:rsidRPr="00ED2612">
        <w:rPr>
          <w:rFonts w:ascii="Times New Roman" w:hAnsi="Times New Roman" w:cs="Times New Roman"/>
          <w:b/>
        </w:rPr>
        <w:t>, OEA Matter No. 1601-0015-21</w:t>
      </w:r>
      <w:r w:rsidRPr="00ED2612">
        <w:rPr>
          <w:rFonts w:ascii="Times New Roman" w:hAnsi="Times New Roman" w:cs="Times New Roman"/>
        </w:rPr>
        <w:t>- Employee worked as a Crime Scene Forensic Scientist with the Department of Forensic Sciences. On January 26, 2021, Agency issued a Notice of Final Decision informing Employee that he would be removed from his position. He was charged with inability to carry out assigned duties and discriminatory practices, in violation of 6B District of Columbia Municipal Regulations (“DCMR”) §§ 1607.2(n) and 1607.2(j)(3). Consequently, he was terminated from employment effective January 30, 2021.</w:t>
      </w:r>
    </w:p>
    <w:p w14:paraId="5A270AE9" w14:textId="77777777" w:rsidR="00DB0008" w:rsidRPr="00ED2612" w:rsidRDefault="00DB0008" w:rsidP="00DB0008">
      <w:pPr>
        <w:spacing w:line="240" w:lineRule="auto"/>
        <w:contextualSpacing/>
        <w:jc w:val="both"/>
        <w:rPr>
          <w:rFonts w:ascii="Times New Roman" w:hAnsi="Times New Roman" w:cs="Times New Roman"/>
          <w:sz w:val="12"/>
          <w:szCs w:val="12"/>
        </w:rPr>
      </w:pPr>
      <w:r w:rsidRPr="00ED2612">
        <w:rPr>
          <w:rFonts w:ascii="Times New Roman" w:hAnsi="Times New Roman" w:cs="Times New Roman"/>
        </w:rPr>
        <w:t xml:space="preserve"> </w:t>
      </w:r>
    </w:p>
    <w:p w14:paraId="26DA7971" w14:textId="77777777" w:rsidR="00DB0008" w:rsidRPr="00ED2612" w:rsidRDefault="00DB0008" w:rsidP="00DB0008">
      <w:pPr>
        <w:spacing w:line="240" w:lineRule="auto"/>
        <w:contextualSpacing/>
        <w:jc w:val="both"/>
        <w:rPr>
          <w:rFonts w:ascii="Times New Roman" w:hAnsi="Times New Roman" w:cs="Times New Roman"/>
        </w:rPr>
      </w:pPr>
      <w:r w:rsidRPr="00ED2612">
        <w:rPr>
          <w:rFonts w:ascii="Times New Roman" w:hAnsi="Times New Roman" w:cs="Times New Roman"/>
        </w:rPr>
        <w:t xml:space="preserve">Employee filed a Petition for Appeal with the Office of Employee Appeals on February 23, 2021. He asserted that Agency lacked substantial evidence for the charges imposed. Additionally, Employee argued that Agency failed to consider the factors provided in </w:t>
      </w:r>
      <w:r w:rsidRPr="00ED2612">
        <w:rPr>
          <w:rFonts w:ascii="Times New Roman" w:hAnsi="Times New Roman" w:cs="Times New Roman"/>
          <w:i/>
          <w:iCs/>
        </w:rPr>
        <w:t>Douglas v. Veterans Administration</w:t>
      </w:r>
      <w:r w:rsidRPr="00ED2612">
        <w:rPr>
          <w:rFonts w:ascii="Times New Roman" w:hAnsi="Times New Roman" w:cs="Times New Roman"/>
        </w:rPr>
        <w:t>. Therefore, he requested that he be reinstated and receive back pay.</w:t>
      </w:r>
    </w:p>
    <w:p w14:paraId="2671B400" w14:textId="77777777" w:rsidR="00DB0008" w:rsidRPr="00ED2612" w:rsidRDefault="00DB0008" w:rsidP="00DB0008">
      <w:pPr>
        <w:spacing w:line="240" w:lineRule="auto"/>
        <w:contextualSpacing/>
        <w:jc w:val="both"/>
        <w:rPr>
          <w:rFonts w:ascii="Times New Roman" w:hAnsi="Times New Roman" w:cs="Times New Roman"/>
          <w:sz w:val="12"/>
          <w:szCs w:val="12"/>
        </w:rPr>
      </w:pPr>
    </w:p>
    <w:p w14:paraId="73133691" w14:textId="77777777" w:rsidR="00DB0008" w:rsidRPr="00ED2612" w:rsidRDefault="00DB0008" w:rsidP="00DB0008">
      <w:pPr>
        <w:spacing w:line="240" w:lineRule="auto"/>
        <w:contextualSpacing/>
        <w:jc w:val="both"/>
        <w:rPr>
          <w:rFonts w:ascii="Times New Roman" w:hAnsi="Times New Roman" w:cs="Times New Roman"/>
        </w:rPr>
      </w:pPr>
      <w:r w:rsidRPr="00ED2612">
        <w:rPr>
          <w:rFonts w:ascii="Times New Roman" w:hAnsi="Times New Roman" w:cs="Times New Roman"/>
        </w:rPr>
        <w:t xml:space="preserve">On April 8, 2021, Agency filed an Answer to Employee’s Petition for Appeal. Agency contended that the charges against Employee were based on a social media post and statements made during a subsequent disciplinary interview, where he expressed his belief that non-white, non-male individuals are inefficiently held accountable by the criminal justice system. It was Agency’s position that it could not entrust Employee as a witness in its cases after he expressed such beliefs and bias. It asserted that its removal action complied with the law and that it considered all twelve </w:t>
      </w:r>
      <w:r w:rsidRPr="00ED2612">
        <w:rPr>
          <w:rFonts w:ascii="Times New Roman" w:hAnsi="Times New Roman" w:cs="Times New Roman"/>
          <w:i/>
          <w:iCs/>
        </w:rPr>
        <w:t xml:space="preserve">Douglas </w:t>
      </w:r>
      <w:r w:rsidRPr="00ED2612">
        <w:rPr>
          <w:rFonts w:ascii="Times New Roman" w:hAnsi="Times New Roman" w:cs="Times New Roman"/>
        </w:rPr>
        <w:t>factors before imposing a penalty. Accordingly, it requested that Employee’s Petition for Appeal be denied.</w:t>
      </w:r>
    </w:p>
    <w:p w14:paraId="43215F52" w14:textId="77777777" w:rsidR="00DB0008" w:rsidRPr="00ED2612" w:rsidRDefault="00DB0008" w:rsidP="00DB0008">
      <w:pPr>
        <w:spacing w:line="240" w:lineRule="auto"/>
        <w:contextualSpacing/>
        <w:jc w:val="both"/>
        <w:rPr>
          <w:rFonts w:ascii="Times New Roman" w:hAnsi="Times New Roman" w:cs="Times New Roman"/>
          <w:sz w:val="12"/>
          <w:szCs w:val="12"/>
        </w:rPr>
      </w:pPr>
    </w:p>
    <w:p w14:paraId="7252B65C" w14:textId="77777777" w:rsidR="00DB0008" w:rsidRPr="00ED2612" w:rsidRDefault="00DB0008" w:rsidP="00DB0008">
      <w:pPr>
        <w:spacing w:line="240" w:lineRule="auto"/>
        <w:contextualSpacing/>
        <w:jc w:val="both"/>
        <w:rPr>
          <w:rFonts w:ascii="Times New Roman" w:hAnsi="Times New Roman" w:cs="Times New Roman"/>
        </w:rPr>
      </w:pPr>
      <w:r w:rsidRPr="00ED2612">
        <w:rPr>
          <w:rFonts w:ascii="Times New Roman" w:hAnsi="Times New Roman" w:cs="Times New Roman"/>
        </w:rPr>
        <w:t>On May 13, 2021, the OEA Administrative Judge issued an Order of Show Cause to Agency. In the order, he explained that OEA sent Agency a letter, dated March 9, 2021, informing it of Employee’s appeal. The letter provided that pursuant to OEA Rule 607.2, Agency was required to file an Answer within thirty (30) calendar days of service of the Petition for Appeal. Thus, Agency’s answer was due on or before April 8, 2021. Therefore, the AJ ordered Agency to submit a statement of good cause for failing to submit a timely Answer to Employee’s Petition for Appeal.</w:t>
      </w:r>
    </w:p>
    <w:p w14:paraId="6A2AE500" w14:textId="77777777" w:rsidR="00DB0008" w:rsidRPr="00ED2612" w:rsidRDefault="00DB0008" w:rsidP="00DB0008">
      <w:pPr>
        <w:spacing w:line="240" w:lineRule="auto"/>
        <w:contextualSpacing/>
        <w:jc w:val="both"/>
        <w:rPr>
          <w:rFonts w:ascii="Times New Roman" w:hAnsi="Times New Roman" w:cs="Times New Roman"/>
          <w:sz w:val="12"/>
          <w:szCs w:val="12"/>
        </w:rPr>
      </w:pPr>
    </w:p>
    <w:p w14:paraId="0AA01B54" w14:textId="77777777" w:rsidR="00DB0008" w:rsidRPr="00ED2612" w:rsidRDefault="00DB0008" w:rsidP="00DB0008">
      <w:pPr>
        <w:spacing w:line="240" w:lineRule="auto"/>
        <w:contextualSpacing/>
        <w:jc w:val="both"/>
        <w:rPr>
          <w:rFonts w:ascii="Times New Roman" w:hAnsi="Times New Roman" w:cs="Times New Roman"/>
        </w:rPr>
      </w:pPr>
      <w:r w:rsidRPr="00ED2612">
        <w:rPr>
          <w:rFonts w:ascii="Times New Roman" w:hAnsi="Times New Roman" w:cs="Times New Roman"/>
        </w:rPr>
        <w:t>After receiving no response to the Show Cause order, the AJ issued his Initial Decision on May 27, 2021. The AJ ruled that Agency’s failure to submit an Answer to Employee’s Petition for Appeal or respond to the Order to Show Cause constituted a failure to defend its decision of separating Employee from service. Consequently, he reversed Agency’s termination action and ordered that it reinstate Employee with back pay and benefits lost as a result of his removal.</w:t>
      </w:r>
    </w:p>
    <w:p w14:paraId="3B450F54" w14:textId="77777777" w:rsidR="00DB0008" w:rsidRPr="00ED2612" w:rsidRDefault="00DB0008" w:rsidP="00DB0008">
      <w:pPr>
        <w:spacing w:line="240" w:lineRule="auto"/>
        <w:contextualSpacing/>
        <w:jc w:val="both"/>
        <w:rPr>
          <w:rFonts w:ascii="Times New Roman" w:hAnsi="Times New Roman" w:cs="Times New Roman"/>
          <w:sz w:val="12"/>
          <w:szCs w:val="12"/>
        </w:rPr>
      </w:pPr>
    </w:p>
    <w:p w14:paraId="6369CAA0" w14:textId="77777777" w:rsidR="00DB0008" w:rsidRPr="00ED2612" w:rsidRDefault="00DB0008" w:rsidP="00DB0008">
      <w:pPr>
        <w:spacing w:line="240" w:lineRule="auto"/>
        <w:contextualSpacing/>
        <w:jc w:val="both"/>
        <w:rPr>
          <w:rFonts w:ascii="Times New Roman" w:hAnsi="Times New Roman" w:cs="Times New Roman"/>
        </w:rPr>
      </w:pPr>
      <w:r w:rsidRPr="00ED2612">
        <w:rPr>
          <w:rFonts w:ascii="Times New Roman" w:hAnsi="Times New Roman" w:cs="Times New Roman"/>
        </w:rPr>
        <w:t>On June 4, 2021, Agency filed a Petition for Review. It asserts that it timely filed its Answer to the Petition for Appeal and Designation of Agency Representative form via email to OEA’s Office Manager, Gabrielle Smith-Barrow. It further submits that Ms. Smith-Barrow immediately confirmed receipt of the documents via email. Therefore, it is Agency’s position that the Show Cause Order and Initial Decision were issued in error, and the matter should be remanded to the AJ to decide the case on the merits.</w:t>
      </w:r>
    </w:p>
    <w:p w14:paraId="6C8F5668" w14:textId="77777777" w:rsidR="00DB0008" w:rsidRPr="00ED2612" w:rsidRDefault="00DB0008" w:rsidP="00DB0008">
      <w:pPr>
        <w:spacing w:line="240" w:lineRule="auto"/>
        <w:contextualSpacing/>
        <w:jc w:val="both"/>
        <w:rPr>
          <w:rFonts w:ascii="Times New Roman" w:hAnsi="Times New Roman" w:cs="Times New Roman"/>
          <w:sz w:val="12"/>
          <w:szCs w:val="12"/>
        </w:rPr>
      </w:pPr>
    </w:p>
    <w:p w14:paraId="51F2BE67" w14:textId="77777777" w:rsidR="00DB0008" w:rsidRPr="00391946" w:rsidRDefault="00DB0008" w:rsidP="00DB0008">
      <w:pPr>
        <w:spacing w:line="240" w:lineRule="auto"/>
        <w:contextualSpacing/>
        <w:jc w:val="both"/>
        <w:rPr>
          <w:rFonts w:ascii="Times New Roman" w:hAnsi="Times New Roman" w:cs="Times New Roman"/>
        </w:rPr>
      </w:pPr>
      <w:r w:rsidRPr="002E2C7A">
        <w:rPr>
          <w:rFonts w:ascii="Times New Roman" w:hAnsi="Times New Roman" w:cs="Times New Roman"/>
          <w:b/>
        </w:rPr>
        <w:t>3.  Employee v. Office of the Chief Technology</w:t>
      </w:r>
      <w:r>
        <w:rPr>
          <w:rFonts w:ascii="Times New Roman" w:hAnsi="Times New Roman" w:cs="Times New Roman"/>
          <w:b/>
        </w:rPr>
        <w:t xml:space="preserve"> Officer</w:t>
      </w:r>
      <w:r w:rsidRPr="002E2C7A">
        <w:rPr>
          <w:rFonts w:ascii="Times New Roman" w:hAnsi="Times New Roman" w:cs="Times New Roman"/>
          <w:b/>
        </w:rPr>
        <w:t>, OEA Matter No. 1601-0046-97R09R16 –</w:t>
      </w:r>
      <w:r>
        <w:rPr>
          <w:rFonts w:ascii="Times New Roman" w:hAnsi="Times New Roman" w:cs="Times New Roman"/>
          <w:b/>
        </w:rPr>
        <w:t xml:space="preserve"> </w:t>
      </w:r>
      <w:r w:rsidRPr="00391946">
        <w:rPr>
          <w:rFonts w:ascii="Times New Roman" w:hAnsi="Times New Roman" w:cs="Times New Roman"/>
        </w:rPr>
        <w:t xml:space="preserve">This matter </w:t>
      </w:r>
      <w:r>
        <w:rPr>
          <w:rFonts w:ascii="Times New Roman" w:hAnsi="Times New Roman" w:cs="Times New Roman"/>
        </w:rPr>
        <w:t>was previously before the Board.</w:t>
      </w:r>
      <w:r w:rsidRPr="00391946">
        <w:rPr>
          <w:rFonts w:ascii="Times New Roman" w:hAnsi="Times New Roman" w:cs="Times New Roman"/>
        </w:rPr>
        <w:t xml:space="preserve"> After several appeals and remands, the District of Columbia Court </w:t>
      </w:r>
      <w:r w:rsidRPr="00391946">
        <w:rPr>
          <w:rFonts w:ascii="Times New Roman" w:hAnsi="Times New Roman" w:cs="Times New Roman"/>
        </w:rPr>
        <w:lastRenderedPageBreak/>
        <w:t xml:space="preserve">of Appeals ordered OEA to re-adjudicate Employee’s back pay claim. As it related to the </w:t>
      </w:r>
      <w:proofErr w:type="gramStart"/>
      <w:r w:rsidRPr="00391946">
        <w:rPr>
          <w:rFonts w:ascii="Times New Roman" w:hAnsi="Times New Roman" w:cs="Times New Roman"/>
        </w:rPr>
        <w:t>back pay</w:t>
      </w:r>
      <w:proofErr w:type="gramEnd"/>
      <w:r w:rsidRPr="00391946">
        <w:rPr>
          <w:rFonts w:ascii="Times New Roman" w:hAnsi="Times New Roman" w:cs="Times New Roman"/>
        </w:rPr>
        <w:t xml:space="preserve"> issue, the Court noted that Agency had the burden of proof as to whether Employee reasonably attempted to mitigate his damages. Additionally, the Court instructed OEA to make a period-by-period determination regarding Employee’s efforts to mitigate his damages. </w:t>
      </w:r>
      <w:r w:rsidRPr="00391946">
        <w:rPr>
          <w:rFonts w:ascii="Times New Roman" w:hAnsi="Times New Roman" w:cs="Times New Roman"/>
        </w:rPr>
        <w:tab/>
      </w:r>
    </w:p>
    <w:p w14:paraId="687F618A" w14:textId="77777777" w:rsidR="00DB0008" w:rsidRPr="00391946" w:rsidRDefault="00DB0008" w:rsidP="00DB0008">
      <w:pPr>
        <w:autoSpaceDE w:val="0"/>
        <w:autoSpaceDN w:val="0"/>
        <w:adjustRightInd w:val="0"/>
        <w:spacing w:line="240" w:lineRule="auto"/>
        <w:contextualSpacing/>
        <w:jc w:val="both"/>
        <w:rPr>
          <w:rFonts w:ascii="Times New Roman" w:hAnsi="Times New Roman" w:cs="Times New Roman"/>
          <w:sz w:val="12"/>
          <w:szCs w:val="12"/>
        </w:rPr>
      </w:pPr>
    </w:p>
    <w:p w14:paraId="79CDC917" w14:textId="77777777" w:rsidR="00DB0008" w:rsidRPr="00391946" w:rsidRDefault="00DB0008" w:rsidP="00DB0008">
      <w:pPr>
        <w:autoSpaceDE w:val="0"/>
        <w:autoSpaceDN w:val="0"/>
        <w:adjustRightInd w:val="0"/>
        <w:spacing w:line="240" w:lineRule="auto"/>
        <w:contextualSpacing/>
        <w:jc w:val="both"/>
        <w:rPr>
          <w:rFonts w:ascii="Times New Roman" w:hAnsi="Times New Roman" w:cs="Times New Roman"/>
        </w:rPr>
      </w:pPr>
      <w:r w:rsidRPr="00391946">
        <w:rPr>
          <w:rFonts w:ascii="Times New Roman" w:hAnsi="Times New Roman" w:cs="Times New Roman"/>
        </w:rPr>
        <w:t xml:space="preserve">In his Second Initial Decision on Remand, the AJ held that Employee </w:t>
      </w:r>
      <w:r>
        <w:rPr>
          <w:rFonts w:ascii="Times New Roman" w:hAnsi="Times New Roman" w:cs="Times New Roman"/>
        </w:rPr>
        <w:t xml:space="preserve">adequately mitigated his damages from 1997 through 2002 by </w:t>
      </w:r>
      <w:r w:rsidRPr="00391946">
        <w:rPr>
          <w:rFonts w:ascii="Times New Roman" w:hAnsi="Times New Roman" w:cs="Times New Roman"/>
        </w:rPr>
        <w:t>submitt</w:t>
      </w:r>
      <w:r>
        <w:rPr>
          <w:rFonts w:ascii="Times New Roman" w:hAnsi="Times New Roman" w:cs="Times New Roman"/>
        </w:rPr>
        <w:t xml:space="preserve">ing several </w:t>
      </w:r>
      <w:r w:rsidRPr="00391946">
        <w:rPr>
          <w:rFonts w:ascii="Times New Roman" w:hAnsi="Times New Roman" w:cs="Times New Roman"/>
        </w:rPr>
        <w:t>applications each week and post</w:t>
      </w:r>
      <w:r>
        <w:rPr>
          <w:rFonts w:ascii="Times New Roman" w:hAnsi="Times New Roman" w:cs="Times New Roman"/>
        </w:rPr>
        <w:t>ing</w:t>
      </w:r>
      <w:r w:rsidRPr="00391946">
        <w:rPr>
          <w:rFonts w:ascii="Times New Roman" w:hAnsi="Times New Roman" w:cs="Times New Roman"/>
        </w:rPr>
        <w:t xml:space="preserve"> his resume on </w:t>
      </w:r>
      <w:r>
        <w:rPr>
          <w:rFonts w:ascii="Times New Roman" w:hAnsi="Times New Roman" w:cs="Times New Roman"/>
        </w:rPr>
        <w:t>various</w:t>
      </w:r>
      <w:r w:rsidRPr="00391946">
        <w:rPr>
          <w:rFonts w:ascii="Times New Roman" w:hAnsi="Times New Roman" w:cs="Times New Roman"/>
        </w:rPr>
        <w:t xml:space="preserve"> job search websites</w:t>
      </w:r>
      <w:r>
        <w:rPr>
          <w:rFonts w:ascii="Times New Roman" w:hAnsi="Times New Roman" w:cs="Times New Roman"/>
        </w:rPr>
        <w:t>.</w:t>
      </w:r>
      <w:r w:rsidRPr="00391946">
        <w:rPr>
          <w:rFonts w:ascii="Times New Roman" w:hAnsi="Times New Roman" w:cs="Times New Roman"/>
        </w:rPr>
        <w:t xml:space="preserve"> He noted that Employee worked in Pre-paid Legal Services</w:t>
      </w:r>
      <w:r>
        <w:rPr>
          <w:rFonts w:ascii="Times New Roman" w:hAnsi="Times New Roman" w:cs="Times New Roman"/>
        </w:rPr>
        <w:t xml:space="preserve"> and </w:t>
      </w:r>
      <w:r w:rsidRPr="00391946">
        <w:rPr>
          <w:rFonts w:ascii="Times New Roman" w:hAnsi="Times New Roman" w:cs="Times New Roman"/>
        </w:rPr>
        <w:t xml:space="preserve">started </w:t>
      </w:r>
      <w:r>
        <w:rPr>
          <w:rFonts w:ascii="Times New Roman" w:hAnsi="Times New Roman" w:cs="Times New Roman"/>
        </w:rPr>
        <w:t xml:space="preserve">several unsuccessful businesses during this time. </w:t>
      </w:r>
      <w:r w:rsidRPr="00391946">
        <w:rPr>
          <w:rFonts w:ascii="Times New Roman" w:hAnsi="Times New Roman" w:cs="Times New Roman"/>
        </w:rPr>
        <w:t>Concerning his search effort</w:t>
      </w:r>
      <w:r>
        <w:rPr>
          <w:rFonts w:ascii="Times New Roman" w:hAnsi="Times New Roman" w:cs="Times New Roman"/>
        </w:rPr>
        <w:t>s</w:t>
      </w:r>
      <w:r w:rsidRPr="00391946">
        <w:rPr>
          <w:rFonts w:ascii="Times New Roman" w:hAnsi="Times New Roman" w:cs="Times New Roman"/>
        </w:rPr>
        <w:t xml:space="preserve"> from 2003 through 2009, the AJ concluded that Employee continued to post his resume on websites; but only submitted approximately seventy-five </w:t>
      </w:r>
      <w:r>
        <w:rPr>
          <w:rFonts w:ascii="Times New Roman" w:hAnsi="Times New Roman" w:cs="Times New Roman"/>
        </w:rPr>
        <w:t>electronic</w:t>
      </w:r>
      <w:r w:rsidRPr="00391946">
        <w:rPr>
          <w:rFonts w:ascii="Times New Roman" w:hAnsi="Times New Roman" w:cs="Times New Roman"/>
        </w:rPr>
        <w:t xml:space="preserve"> applications and twenty-five paper applications over the course of six years. Based on the testimony </w:t>
      </w:r>
      <w:r>
        <w:rPr>
          <w:rFonts w:ascii="Times New Roman" w:hAnsi="Times New Roman" w:cs="Times New Roman"/>
        </w:rPr>
        <w:t>elicited</w:t>
      </w:r>
      <w:r w:rsidRPr="00391946">
        <w:rPr>
          <w:rFonts w:ascii="Times New Roman" w:hAnsi="Times New Roman" w:cs="Times New Roman"/>
        </w:rPr>
        <w:t xml:space="preserve"> during the evidentiary hearing, the AJ held that Employee only attempted to mitigate his damages </w:t>
      </w:r>
      <w:r>
        <w:rPr>
          <w:rFonts w:ascii="Times New Roman" w:hAnsi="Times New Roman" w:cs="Times New Roman"/>
        </w:rPr>
        <w:t>from</w:t>
      </w:r>
      <w:r w:rsidRPr="00391946">
        <w:rPr>
          <w:rFonts w:ascii="Times New Roman" w:hAnsi="Times New Roman" w:cs="Times New Roman"/>
        </w:rPr>
        <w:t xml:space="preserve"> 1997</w:t>
      </w:r>
      <w:r>
        <w:rPr>
          <w:rFonts w:ascii="Times New Roman" w:hAnsi="Times New Roman" w:cs="Times New Roman"/>
        </w:rPr>
        <w:t xml:space="preserve"> through</w:t>
      </w:r>
      <w:r w:rsidRPr="00391946">
        <w:rPr>
          <w:rFonts w:ascii="Times New Roman" w:hAnsi="Times New Roman" w:cs="Times New Roman"/>
        </w:rPr>
        <w:t xml:space="preserve"> 2002. </w:t>
      </w:r>
      <w:r>
        <w:rPr>
          <w:rFonts w:ascii="Times New Roman" w:hAnsi="Times New Roman" w:cs="Times New Roman"/>
        </w:rPr>
        <w:t>H</w:t>
      </w:r>
      <w:r w:rsidRPr="00391946">
        <w:rPr>
          <w:rFonts w:ascii="Times New Roman" w:hAnsi="Times New Roman" w:cs="Times New Roman"/>
        </w:rPr>
        <w:t xml:space="preserve">e opined that Employee failed to prove that he exercised reasonable diligence in attempting to find alternative employment in his field from January 1, 2003 until Agency reinstated him on November 1, 2009. </w:t>
      </w:r>
    </w:p>
    <w:p w14:paraId="66A86F04" w14:textId="77777777" w:rsidR="00DB0008" w:rsidRPr="00391946" w:rsidRDefault="00DB0008" w:rsidP="00DB0008">
      <w:pPr>
        <w:autoSpaceDE w:val="0"/>
        <w:autoSpaceDN w:val="0"/>
        <w:adjustRightInd w:val="0"/>
        <w:spacing w:line="240" w:lineRule="auto"/>
        <w:contextualSpacing/>
        <w:jc w:val="both"/>
        <w:rPr>
          <w:rFonts w:ascii="Times New Roman" w:hAnsi="Times New Roman" w:cs="Times New Roman"/>
          <w:sz w:val="12"/>
          <w:szCs w:val="12"/>
        </w:rPr>
      </w:pPr>
    </w:p>
    <w:p w14:paraId="66B7C970" w14:textId="77777777" w:rsidR="00DB0008" w:rsidRDefault="00DB0008" w:rsidP="00DB0008">
      <w:pPr>
        <w:autoSpaceDE w:val="0"/>
        <w:autoSpaceDN w:val="0"/>
        <w:adjustRightInd w:val="0"/>
        <w:spacing w:line="240" w:lineRule="auto"/>
        <w:contextualSpacing/>
        <w:jc w:val="both"/>
        <w:rPr>
          <w:rFonts w:ascii="Times New Roman" w:hAnsi="Times New Roman" w:cs="Times New Roman"/>
        </w:rPr>
      </w:pPr>
      <w:r w:rsidRPr="00391946">
        <w:rPr>
          <w:rFonts w:ascii="Times New Roman" w:hAnsi="Times New Roman" w:cs="Times New Roman"/>
        </w:rPr>
        <w:t xml:space="preserve">As it related to Employee’s potential entitlement to additional back pay from 2003 to 2009, the AJ explained that while Agency met its burden of proof in establishing that Employee failed to mitigate his damages during the aforementioned period, it failed to present any evidence as to what salary Employee could have earned had he attempted to find equivalent employment. However, he noted that Employee’s own witness testified that Employee could have earned $50,000 per year as an IT professional. Thus, based on the D.C. Court of Appeal’s holding in </w:t>
      </w:r>
      <w:r w:rsidRPr="00391946">
        <w:rPr>
          <w:rFonts w:ascii="Times New Roman" w:hAnsi="Times New Roman" w:cs="Times New Roman"/>
          <w:i/>
        </w:rPr>
        <w:t>Wisconsin Ave. Nursing Home v. D.C. Commission on Human Rights</w:t>
      </w:r>
      <w:r w:rsidRPr="00391946">
        <w:rPr>
          <w:rFonts w:ascii="Times New Roman" w:hAnsi="Times New Roman" w:cs="Times New Roman"/>
        </w:rPr>
        <w:t xml:space="preserve">, the AJ believed that </w:t>
      </w:r>
      <w:r>
        <w:rPr>
          <w:rFonts w:ascii="Times New Roman" w:hAnsi="Times New Roman" w:cs="Times New Roman"/>
        </w:rPr>
        <w:t xml:space="preserve">Employee’s witness, Anthony </w:t>
      </w:r>
      <w:r w:rsidRPr="00391946">
        <w:rPr>
          <w:rFonts w:ascii="Times New Roman" w:hAnsi="Times New Roman" w:cs="Times New Roman"/>
        </w:rPr>
        <w:t>Bird</w:t>
      </w:r>
      <w:r>
        <w:rPr>
          <w:rFonts w:ascii="Times New Roman" w:hAnsi="Times New Roman" w:cs="Times New Roman"/>
        </w:rPr>
        <w:t>, provided</w:t>
      </w:r>
      <w:r w:rsidRPr="00391946">
        <w:rPr>
          <w:rFonts w:ascii="Times New Roman" w:hAnsi="Times New Roman" w:cs="Times New Roman"/>
        </w:rPr>
        <w:t xml:space="preserve"> testimony </w:t>
      </w:r>
      <w:r>
        <w:rPr>
          <w:rFonts w:ascii="Times New Roman" w:hAnsi="Times New Roman" w:cs="Times New Roman"/>
        </w:rPr>
        <w:t xml:space="preserve">that </w:t>
      </w:r>
      <w:r w:rsidRPr="00391946">
        <w:rPr>
          <w:rFonts w:ascii="Times New Roman" w:hAnsi="Times New Roman" w:cs="Times New Roman"/>
        </w:rPr>
        <w:t>was adequate to establish what salary Employee could have earned from 2003 through 2009 if he attempted to find suitable work. Accordingly, the AJ ordered that Employee be reimbursed all back pay and benefits lost as a result of his termination starting from the date of his removal through December 31, 2002, less any amounts paid and actual interim earnings. Agency was further ordered to reimburse Employee for back pay and benefits from January 1, 2003 to November 2, 2009, less an annual prorated amount of $50,000 for the months Employee was unemployed. Lastly, the AJ instructed Agency to pay Employee $139,603.49 for his annual leave hours, as previously agreed upon.</w:t>
      </w:r>
    </w:p>
    <w:p w14:paraId="33B7B77D" w14:textId="77777777" w:rsidR="00DB0008" w:rsidRPr="003B6FCC" w:rsidRDefault="00DB0008" w:rsidP="00DB0008">
      <w:pPr>
        <w:autoSpaceDE w:val="0"/>
        <w:autoSpaceDN w:val="0"/>
        <w:adjustRightInd w:val="0"/>
        <w:spacing w:line="240" w:lineRule="auto"/>
        <w:contextualSpacing/>
        <w:jc w:val="both"/>
        <w:rPr>
          <w:rFonts w:ascii="Times New Roman" w:hAnsi="Times New Roman" w:cs="Times New Roman"/>
          <w:sz w:val="12"/>
          <w:szCs w:val="12"/>
        </w:rPr>
      </w:pPr>
    </w:p>
    <w:p w14:paraId="2A06FC2C" w14:textId="77777777" w:rsidR="00DB0008" w:rsidRDefault="00DB0008" w:rsidP="00DB0008">
      <w:pPr>
        <w:autoSpaceDE w:val="0"/>
        <w:autoSpaceDN w:val="0"/>
        <w:adjustRightInd w:val="0"/>
        <w:spacing w:line="240" w:lineRule="auto"/>
        <w:contextualSpacing/>
        <w:jc w:val="both"/>
        <w:rPr>
          <w:rFonts w:ascii="Times New Roman" w:hAnsi="Times New Roman" w:cs="Times New Roman"/>
        </w:rPr>
      </w:pPr>
      <w:r w:rsidRPr="00391946">
        <w:rPr>
          <w:rFonts w:ascii="Times New Roman" w:hAnsi="Times New Roman" w:cs="Times New Roman"/>
        </w:rPr>
        <w:t>On April 1, 2021, Agency filed a Petition for Review of the AJ’s Second Initial Decision on Remand. It argue</w:t>
      </w:r>
      <w:r>
        <w:rPr>
          <w:rFonts w:ascii="Times New Roman" w:hAnsi="Times New Roman" w:cs="Times New Roman"/>
        </w:rPr>
        <w:t>s</w:t>
      </w:r>
      <w:r w:rsidRPr="00391946">
        <w:rPr>
          <w:rFonts w:ascii="Times New Roman" w:hAnsi="Times New Roman" w:cs="Times New Roman"/>
        </w:rPr>
        <w:t xml:space="preserve"> that the AJ’s ruling on back pay from November 1, 1997 to December 31, 200</w:t>
      </w:r>
      <w:r>
        <w:rPr>
          <w:rFonts w:ascii="Times New Roman" w:hAnsi="Times New Roman" w:cs="Times New Roman"/>
        </w:rPr>
        <w:t>2</w:t>
      </w:r>
      <w:r w:rsidRPr="00391946">
        <w:rPr>
          <w:rFonts w:ascii="Times New Roman" w:hAnsi="Times New Roman" w:cs="Times New Roman"/>
        </w:rPr>
        <w:t xml:space="preserve"> was not based on substantial evidence. According to Agency, the testimonial evidence supports a finding that Employee failed to exercise reasonable diligence in seeking employment. It believe</w:t>
      </w:r>
      <w:r>
        <w:rPr>
          <w:rFonts w:ascii="Times New Roman" w:hAnsi="Times New Roman" w:cs="Times New Roman"/>
        </w:rPr>
        <w:t>s</w:t>
      </w:r>
      <w:r w:rsidRPr="00391946">
        <w:rPr>
          <w:rFonts w:ascii="Times New Roman" w:hAnsi="Times New Roman" w:cs="Times New Roman"/>
        </w:rPr>
        <w:t xml:space="preserve"> that Employee’s testimony was not credible in establishing his mitigation efforts. Additionally, Agency reason</w:t>
      </w:r>
      <w:r>
        <w:rPr>
          <w:rFonts w:ascii="Times New Roman" w:hAnsi="Times New Roman" w:cs="Times New Roman"/>
        </w:rPr>
        <w:t>s</w:t>
      </w:r>
      <w:r w:rsidRPr="00391946">
        <w:rPr>
          <w:rFonts w:ascii="Times New Roman" w:hAnsi="Times New Roman" w:cs="Times New Roman"/>
        </w:rPr>
        <w:t xml:space="preserve"> that Employee is not entitled to back pay from February 4, 2005 through November 1, 2009 because beginning on February 4, 2005, Chapter 6B, Section 1149 of the </w:t>
      </w:r>
      <w:r w:rsidRPr="00391946">
        <w:rPr>
          <w:rFonts w:ascii="Times New Roman" w:hAnsi="Times New Roman" w:cs="Times New Roman"/>
          <w:color w:val="000000"/>
          <w:shd w:val="clear" w:color="auto" w:fill="FFFFFF"/>
        </w:rPr>
        <w:t xml:space="preserve">D.C. Municipal Regulations </w:t>
      </w:r>
      <w:r w:rsidRPr="00391946">
        <w:rPr>
          <w:rFonts w:ascii="Times New Roman" w:hAnsi="Times New Roman" w:cs="Times New Roman"/>
        </w:rPr>
        <w:t xml:space="preserve">limited back pay when there is a </w:t>
      </w:r>
      <w:r>
        <w:rPr>
          <w:rFonts w:ascii="Times New Roman" w:hAnsi="Times New Roman" w:cs="Times New Roman"/>
        </w:rPr>
        <w:t>finding that an employee failed to mitigate his damages.</w:t>
      </w:r>
    </w:p>
    <w:p w14:paraId="6904DB94" w14:textId="77777777" w:rsidR="00DB0008" w:rsidRPr="00216F05" w:rsidRDefault="00DB0008" w:rsidP="00DB0008">
      <w:pPr>
        <w:autoSpaceDE w:val="0"/>
        <w:autoSpaceDN w:val="0"/>
        <w:adjustRightInd w:val="0"/>
        <w:spacing w:line="240" w:lineRule="auto"/>
        <w:contextualSpacing/>
        <w:jc w:val="both"/>
        <w:rPr>
          <w:rFonts w:ascii="Times New Roman" w:hAnsi="Times New Roman" w:cs="Times New Roman"/>
          <w:sz w:val="12"/>
          <w:szCs w:val="12"/>
        </w:rPr>
      </w:pPr>
    </w:p>
    <w:p w14:paraId="7A68B46C" w14:textId="77777777" w:rsidR="00DB0008" w:rsidRPr="00391946" w:rsidRDefault="00DB0008" w:rsidP="00DB0008">
      <w:pPr>
        <w:autoSpaceDE w:val="0"/>
        <w:autoSpaceDN w:val="0"/>
        <w:adjustRightInd w:val="0"/>
        <w:spacing w:line="240" w:lineRule="auto"/>
        <w:contextualSpacing/>
        <w:jc w:val="both"/>
        <w:rPr>
          <w:rFonts w:ascii="Times New Roman" w:hAnsi="Times New Roman" w:cs="Times New Roman"/>
        </w:rPr>
      </w:pPr>
      <w:r w:rsidRPr="00391946">
        <w:rPr>
          <w:rFonts w:ascii="Times New Roman" w:hAnsi="Times New Roman" w:cs="Times New Roman"/>
        </w:rPr>
        <w:t>Employee filed a Cross-Petition for Review on April 5, 2021. It contends that the AJ made an error of law in deducting $50,000 per year from his award of damages because the position he used to reach his conclusion was inferior to the one Employee previously held. He further opine</w:t>
      </w:r>
      <w:r>
        <w:rPr>
          <w:rFonts w:ascii="Times New Roman" w:hAnsi="Times New Roman" w:cs="Times New Roman"/>
        </w:rPr>
        <w:t>s</w:t>
      </w:r>
      <w:r w:rsidRPr="00391946">
        <w:rPr>
          <w:rFonts w:ascii="Times New Roman" w:hAnsi="Times New Roman" w:cs="Times New Roman"/>
        </w:rPr>
        <w:t xml:space="preserve"> that the AJ’s determination that he failed to exercise reasonable diligence in his job search efforts to obtain employment from January 1, 2003 to November 1, 2009 was contrary to law and not supported by substantial evidence. Moreover, Employee claim</w:t>
      </w:r>
      <w:r>
        <w:rPr>
          <w:rFonts w:ascii="Times New Roman" w:hAnsi="Times New Roman" w:cs="Times New Roman"/>
        </w:rPr>
        <w:t xml:space="preserve">s </w:t>
      </w:r>
      <w:r w:rsidRPr="00391946">
        <w:rPr>
          <w:rFonts w:ascii="Times New Roman" w:hAnsi="Times New Roman" w:cs="Times New Roman"/>
        </w:rPr>
        <w:t>that OEA should affirm the portion of the Second Initial Decision on Remand regarding the AJ’s finding that he is entitled to full back pay from November 1, 1997 to December 31, 2002. He also request</w:t>
      </w:r>
      <w:r>
        <w:rPr>
          <w:rFonts w:ascii="Times New Roman" w:hAnsi="Times New Roman" w:cs="Times New Roman"/>
        </w:rPr>
        <w:t>s</w:t>
      </w:r>
      <w:r w:rsidRPr="00391946">
        <w:rPr>
          <w:rFonts w:ascii="Times New Roman" w:hAnsi="Times New Roman" w:cs="Times New Roman"/>
        </w:rPr>
        <w:t xml:space="preserve"> that </w:t>
      </w:r>
      <w:r>
        <w:rPr>
          <w:rFonts w:ascii="Times New Roman" w:hAnsi="Times New Roman" w:cs="Times New Roman"/>
        </w:rPr>
        <w:t>the Board</w:t>
      </w:r>
      <w:r w:rsidRPr="00391946">
        <w:rPr>
          <w:rFonts w:ascii="Times New Roman" w:hAnsi="Times New Roman" w:cs="Times New Roman"/>
        </w:rPr>
        <w:t xml:space="preserve"> reverse the portion of the AJ’s decision concluding that there must be a $50,000 per-year reduction in back pay from 2003 through 2009 because that is the salary Employee could have earned had he exercised diligence in securing employment.</w:t>
      </w:r>
    </w:p>
    <w:p w14:paraId="1DDE9683" w14:textId="77777777" w:rsidR="00DB0008" w:rsidRPr="00391946" w:rsidRDefault="00DB0008" w:rsidP="00DB0008">
      <w:pPr>
        <w:autoSpaceDE w:val="0"/>
        <w:autoSpaceDN w:val="0"/>
        <w:adjustRightInd w:val="0"/>
        <w:spacing w:line="240" w:lineRule="auto"/>
        <w:contextualSpacing/>
        <w:jc w:val="both"/>
        <w:rPr>
          <w:rFonts w:ascii="Times New Roman" w:hAnsi="Times New Roman" w:cs="Times New Roman"/>
          <w:sz w:val="12"/>
          <w:szCs w:val="12"/>
        </w:rPr>
      </w:pPr>
    </w:p>
    <w:p w14:paraId="7F40DC0E" w14:textId="77777777" w:rsidR="00DB0008" w:rsidRPr="00391946" w:rsidRDefault="00DB0008" w:rsidP="00DB0008">
      <w:pPr>
        <w:autoSpaceDE w:val="0"/>
        <w:autoSpaceDN w:val="0"/>
        <w:adjustRightInd w:val="0"/>
        <w:spacing w:line="240" w:lineRule="auto"/>
        <w:contextualSpacing/>
        <w:jc w:val="both"/>
        <w:rPr>
          <w:rFonts w:ascii="Times New Roman" w:hAnsi="Times New Roman" w:cs="Times New Roman"/>
        </w:rPr>
      </w:pPr>
      <w:r w:rsidRPr="00391946">
        <w:rPr>
          <w:rFonts w:ascii="Times New Roman" w:hAnsi="Times New Roman" w:cs="Times New Roman"/>
        </w:rPr>
        <w:t xml:space="preserve">On April 29, 2021, Employee filed a Response to Agency’s Petition for Review. He states that he is entitled to a reversal of the AJ’s decision that he failed to mitigate damages from 2003 to 2009. Employee explains </w:t>
      </w:r>
      <w:r w:rsidRPr="00391946">
        <w:rPr>
          <w:rFonts w:ascii="Times New Roman" w:hAnsi="Times New Roman" w:cs="Times New Roman"/>
        </w:rPr>
        <w:lastRenderedPageBreak/>
        <w:t>that he continued to seek outside employment during this time and created self-employment opportunities by establishing four businesses. Additionally, he argues and that it was a legal error to impute projected income to an employee from an inferior position that he was neither required to search for nor accept. Moreover, Employee believes that the AJ’s finding regarding the award of back pay from November 1, 1997 to December 31, 2002 is supported by the record because the AJ was the appropriate person to make the pertinent witness credibility findings. He also disagrees with Agency’s contention that DCMR § 1149.11 changed the common law mitigation rule in a manner more favorable for the District and reasons that this argument is being raised for the first time before</w:t>
      </w:r>
      <w:r>
        <w:rPr>
          <w:rFonts w:ascii="Times New Roman" w:hAnsi="Times New Roman" w:cs="Times New Roman"/>
        </w:rPr>
        <w:t xml:space="preserve"> the</w:t>
      </w:r>
      <w:r w:rsidRPr="00391946">
        <w:rPr>
          <w:rFonts w:ascii="Times New Roman" w:hAnsi="Times New Roman" w:cs="Times New Roman"/>
        </w:rPr>
        <w:t xml:space="preserve"> OEA</w:t>
      </w:r>
      <w:r>
        <w:rPr>
          <w:rFonts w:ascii="Times New Roman" w:hAnsi="Times New Roman" w:cs="Times New Roman"/>
        </w:rPr>
        <w:t xml:space="preserve"> Board</w:t>
      </w:r>
      <w:r w:rsidRPr="00391946">
        <w:rPr>
          <w:rFonts w:ascii="Times New Roman" w:hAnsi="Times New Roman" w:cs="Times New Roman"/>
        </w:rPr>
        <w:t>, after nearly twenty-four years of litigation. Therefore, Employee asks that his petition be granted.</w:t>
      </w:r>
    </w:p>
    <w:p w14:paraId="7646F553" w14:textId="77777777" w:rsidR="00DB0008" w:rsidRPr="00391946" w:rsidRDefault="00DB0008" w:rsidP="00DB0008">
      <w:pPr>
        <w:autoSpaceDE w:val="0"/>
        <w:autoSpaceDN w:val="0"/>
        <w:adjustRightInd w:val="0"/>
        <w:spacing w:line="240" w:lineRule="auto"/>
        <w:contextualSpacing/>
        <w:jc w:val="both"/>
        <w:rPr>
          <w:rFonts w:ascii="Times New Roman" w:hAnsi="Times New Roman" w:cs="Times New Roman"/>
          <w:sz w:val="12"/>
          <w:szCs w:val="12"/>
        </w:rPr>
      </w:pPr>
    </w:p>
    <w:p w14:paraId="1B3E7541" w14:textId="77777777" w:rsidR="00DB0008" w:rsidRPr="00391946" w:rsidRDefault="00DB0008" w:rsidP="00DB0008">
      <w:pPr>
        <w:autoSpaceDE w:val="0"/>
        <w:autoSpaceDN w:val="0"/>
        <w:adjustRightInd w:val="0"/>
        <w:spacing w:line="240" w:lineRule="auto"/>
        <w:contextualSpacing/>
        <w:jc w:val="both"/>
        <w:rPr>
          <w:rFonts w:ascii="Times New Roman" w:hAnsi="Times New Roman" w:cs="Times New Roman"/>
        </w:rPr>
      </w:pPr>
      <w:r w:rsidRPr="00391946">
        <w:rPr>
          <w:rFonts w:ascii="Times New Roman" w:hAnsi="Times New Roman" w:cs="Times New Roman"/>
        </w:rPr>
        <w:t>Agency submitted an Opposition to Employee’s Cross-Petition for Review on May 6, 2</w:t>
      </w:r>
      <w:r>
        <w:rPr>
          <w:rFonts w:ascii="Times New Roman" w:hAnsi="Times New Roman" w:cs="Times New Roman"/>
        </w:rPr>
        <w:t>0</w:t>
      </w:r>
      <w:r w:rsidRPr="00391946">
        <w:rPr>
          <w:rFonts w:ascii="Times New Roman" w:hAnsi="Times New Roman" w:cs="Times New Roman"/>
        </w:rPr>
        <w:t xml:space="preserve">21. It reiterates its previous argument </w:t>
      </w:r>
      <w:r>
        <w:rPr>
          <w:rFonts w:ascii="Times New Roman" w:hAnsi="Times New Roman" w:cs="Times New Roman"/>
        </w:rPr>
        <w:t>that</w:t>
      </w:r>
      <w:r w:rsidRPr="00391946">
        <w:rPr>
          <w:rFonts w:ascii="Times New Roman" w:hAnsi="Times New Roman" w:cs="Times New Roman"/>
        </w:rPr>
        <w:t xml:space="preserve"> the AJ’s finding is supported by substantial evidence. It also believes that Employee’s argument that the AJ committed an error by imputing $50,000 per year to his income in calculating back pay lacks merit. Consequently, it requests that Employee’s Cross-Petition for Review be denied.</w:t>
      </w:r>
    </w:p>
    <w:p w14:paraId="061A6D91" w14:textId="77777777" w:rsidR="005E3410" w:rsidRPr="0037607A" w:rsidRDefault="005E3410" w:rsidP="00FA0192">
      <w:pPr>
        <w:spacing w:after="0" w:line="240" w:lineRule="auto"/>
        <w:jc w:val="center"/>
        <w:rPr>
          <w:rFonts w:ascii="Times New Roman" w:eastAsia="SimSun" w:hAnsi="Times New Roman" w:cs="Times New Roman"/>
          <w:bCs/>
          <w:sz w:val="24"/>
          <w:szCs w:val="24"/>
          <w:lang w:eastAsia="zh-CN"/>
        </w:rPr>
      </w:pPr>
    </w:p>
    <w:bookmarkEnd w:id="0"/>
    <w:p w14:paraId="01DF301A" w14:textId="77777777" w:rsidR="00BC78E4" w:rsidRPr="00A63D5F" w:rsidRDefault="00BC78E4" w:rsidP="00BC78E4">
      <w:pPr>
        <w:autoSpaceDE w:val="0"/>
        <w:autoSpaceDN w:val="0"/>
        <w:adjustRightInd w:val="0"/>
        <w:spacing w:line="240" w:lineRule="auto"/>
        <w:ind w:left="360"/>
        <w:contextualSpacing/>
        <w:jc w:val="both"/>
        <w:rPr>
          <w:rFonts w:ascii="Times New Roman" w:hAnsi="Times New Roman" w:cs="Times New Roman"/>
          <w:bCs/>
          <w:sz w:val="12"/>
          <w:szCs w:val="12"/>
        </w:rPr>
      </w:pPr>
    </w:p>
    <w:p w14:paraId="6A450E04" w14:textId="77777777" w:rsidR="00BC78E4" w:rsidRDefault="00BC78E4" w:rsidP="00BC78E4">
      <w:pPr>
        <w:numPr>
          <w:ilvl w:val="1"/>
          <w:numId w:val="2"/>
        </w:numPr>
        <w:tabs>
          <w:tab w:val="clear" w:pos="1440"/>
          <w:tab w:val="num" w:pos="990"/>
        </w:tabs>
        <w:spacing w:after="0" w:line="240" w:lineRule="auto"/>
        <w:ind w:left="990" w:hanging="450"/>
        <w:contextualSpacing/>
        <w:jc w:val="both"/>
        <w:rPr>
          <w:rFonts w:ascii="Times New Roman" w:eastAsia="SimSun" w:hAnsi="Times New Roman" w:cs="Times New Roman"/>
          <w:b/>
          <w:lang w:eastAsia="zh-CN"/>
        </w:rPr>
      </w:pPr>
      <w:r>
        <w:rPr>
          <w:rFonts w:ascii="Times New Roman" w:eastAsia="SimSun" w:hAnsi="Times New Roman" w:cs="Times New Roman"/>
          <w:b/>
          <w:lang w:eastAsia="zh-CN"/>
        </w:rPr>
        <w:t xml:space="preserve">Deliberations </w:t>
      </w:r>
      <w:r>
        <w:rPr>
          <w:rFonts w:ascii="Times New Roman" w:eastAsia="SimSun" w:hAnsi="Times New Roman" w:cs="Times New Roman"/>
          <w:lang w:eastAsia="zh-CN"/>
        </w:rPr>
        <w:t xml:space="preserve">– This portion of the meeting will be closed to the public for deliberations in accordance with D.C. Official Code § 2-575(b)(13).  </w:t>
      </w:r>
    </w:p>
    <w:p w14:paraId="7637A59B" w14:textId="77777777" w:rsidR="00BC78E4" w:rsidRDefault="00BC78E4" w:rsidP="00BC78E4">
      <w:pPr>
        <w:spacing w:after="0" w:line="240" w:lineRule="auto"/>
        <w:ind w:left="360" w:hanging="450"/>
        <w:contextualSpacing/>
        <w:jc w:val="both"/>
        <w:rPr>
          <w:rFonts w:ascii="Times New Roman" w:eastAsia="SimSun" w:hAnsi="Times New Roman" w:cs="Times New Roman"/>
          <w:b/>
          <w:sz w:val="12"/>
          <w:szCs w:val="12"/>
          <w:lang w:eastAsia="zh-CN"/>
        </w:rPr>
      </w:pPr>
      <w:r>
        <w:rPr>
          <w:rFonts w:ascii="Times New Roman" w:eastAsia="SimSun" w:hAnsi="Times New Roman" w:cs="Times New Roman"/>
          <w:lang w:eastAsia="zh-CN"/>
        </w:rPr>
        <w:t xml:space="preserve">                     </w:t>
      </w:r>
    </w:p>
    <w:p w14:paraId="4FD93507" w14:textId="77777777" w:rsidR="00BC78E4" w:rsidRDefault="00BC78E4" w:rsidP="00BC78E4">
      <w:pPr>
        <w:numPr>
          <w:ilvl w:val="1"/>
          <w:numId w:val="2"/>
        </w:numPr>
        <w:tabs>
          <w:tab w:val="clear" w:pos="1440"/>
          <w:tab w:val="num" w:pos="990"/>
        </w:tabs>
        <w:spacing w:after="0" w:line="240" w:lineRule="auto"/>
        <w:ind w:hanging="900"/>
        <w:contextualSpacing/>
        <w:jc w:val="both"/>
        <w:rPr>
          <w:rFonts w:ascii="Times New Roman" w:eastAsia="SimSun" w:hAnsi="Times New Roman" w:cs="Times New Roman"/>
          <w:b/>
          <w:lang w:eastAsia="zh-CN"/>
        </w:rPr>
      </w:pPr>
      <w:r>
        <w:rPr>
          <w:rFonts w:ascii="Times New Roman" w:eastAsia="SimSun" w:hAnsi="Times New Roman" w:cs="Times New Roman"/>
          <w:b/>
          <w:lang w:eastAsia="zh-CN"/>
        </w:rPr>
        <w:t>Open Portion Resumes</w:t>
      </w:r>
    </w:p>
    <w:p w14:paraId="5AD421FC" w14:textId="77777777" w:rsidR="00BC78E4" w:rsidRDefault="00BC78E4" w:rsidP="00BC78E4">
      <w:pPr>
        <w:tabs>
          <w:tab w:val="num" w:pos="1080"/>
        </w:tabs>
        <w:spacing w:after="0" w:line="240" w:lineRule="auto"/>
        <w:ind w:left="1440" w:hanging="450"/>
        <w:contextualSpacing/>
        <w:jc w:val="both"/>
        <w:rPr>
          <w:rFonts w:ascii="Times New Roman" w:eastAsia="SimSun" w:hAnsi="Times New Roman" w:cs="Times New Roman"/>
          <w:b/>
          <w:sz w:val="12"/>
          <w:szCs w:val="12"/>
          <w:lang w:eastAsia="zh-CN"/>
        </w:rPr>
      </w:pPr>
    </w:p>
    <w:p w14:paraId="1728B596" w14:textId="77777777" w:rsidR="00BC78E4" w:rsidRDefault="00BC78E4" w:rsidP="00BC78E4">
      <w:pPr>
        <w:numPr>
          <w:ilvl w:val="1"/>
          <w:numId w:val="2"/>
        </w:numPr>
        <w:tabs>
          <w:tab w:val="clear" w:pos="1440"/>
          <w:tab w:val="num" w:pos="990"/>
        </w:tabs>
        <w:spacing w:after="0" w:line="240" w:lineRule="auto"/>
        <w:ind w:hanging="900"/>
        <w:contextualSpacing/>
        <w:jc w:val="both"/>
        <w:rPr>
          <w:rFonts w:ascii="Times New Roman" w:eastAsia="SimSun" w:hAnsi="Times New Roman" w:cs="Times New Roman"/>
          <w:b/>
          <w:lang w:eastAsia="zh-CN"/>
        </w:rPr>
      </w:pPr>
      <w:r>
        <w:rPr>
          <w:rFonts w:ascii="Times New Roman" w:eastAsia="SimSun" w:hAnsi="Times New Roman" w:cs="Times New Roman"/>
          <w:b/>
          <w:lang w:eastAsia="zh-CN"/>
        </w:rPr>
        <w:t>Final Votes on Cases</w:t>
      </w:r>
    </w:p>
    <w:p w14:paraId="0FCB0AB2" w14:textId="77777777" w:rsidR="00BC78E4" w:rsidRDefault="00BC78E4" w:rsidP="00BC78E4">
      <w:pPr>
        <w:spacing w:after="0" w:line="240" w:lineRule="auto"/>
        <w:ind w:left="720" w:hanging="450"/>
        <w:contextualSpacing/>
        <w:rPr>
          <w:rFonts w:ascii="Times New Roman" w:eastAsia="SimSun" w:hAnsi="Times New Roman" w:cs="Times New Roman"/>
          <w:b/>
          <w:sz w:val="12"/>
          <w:szCs w:val="12"/>
          <w:lang w:eastAsia="zh-CN"/>
        </w:rPr>
      </w:pPr>
    </w:p>
    <w:p w14:paraId="7B6601E9" w14:textId="77777777" w:rsidR="00BC78E4" w:rsidRDefault="00BC78E4" w:rsidP="00BC78E4">
      <w:pPr>
        <w:numPr>
          <w:ilvl w:val="1"/>
          <w:numId w:val="2"/>
        </w:numPr>
        <w:tabs>
          <w:tab w:val="clear" w:pos="1440"/>
          <w:tab w:val="left" w:pos="720"/>
          <w:tab w:val="num" w:pos="990"/>
        </w:tabs>
        <w:spacing w:after="0" w:line="240" w:lineRule="auto"/>
        <w:ind w:hanging="900"/>
        <w:contextualSpacing/>
        <w:jc w:val="both"/>
        <w:rPr>
          <w:rFonts w:ascii="Times New Roman" w:eastAsia="SimSun" w:hAnsi="Times New Roman" w:cs="Times New Roman"/>
          <w:b/>
          <w:lang w:eastAsia="zh-CN"/>
        </w:rPr>
      </w:pPr>
      <w:r>
        <w:rPr>
          <w:rFonts w:ascii="Times New Roman" w:eastAsia="SimSun" w:hAnsi="Times New Roman" w:cs="Times New Roman"/>
          <w:b/>
          <w:lang w:eastAsia="zh-CN"/>
        </w:rPr>
        <w:t>Public Comments</w:t>
      </w:r>
    </w:p>
    <w:p w14:paraId="13645124" w14:textId="77777777" w:rsidR="00BC78E4" w:rsidRDefault="00BC78E4" w:rsidP="00BC78E4">
      <w:pPr>
        <w:spacing w:after="0" w:line="240" w:lineRule="auto"/>
        <w:ind w:left="720"/>
        <w:contextualSpacing/>
        <w:rPr>
          <w:rFonts w:ascii="Times New Roman" w:eastAsia="SimSun" w:hAnsi="Times New Roman" w:cs="Times New Roman"/>
          <w:b/>
          <w:sz w:val="12"/>
          <w:szCs w:val="12"/>
          <w:lang w:eastAsia="zh-CN"/>
        </w:rPr>
      </w:pPr>
    </w:p>
    <w:p w14:paraId="0A89918C" w14:textId="77777777" w:rsidR="00BC78E4" w:rsidRDefault="00BC78E4" w:rsidP="00BC78E4">
      <w:pPr>
        <w:numPr>
          <w:ilvl w:val="0"/>
          <w:numId w:val="2"/>
        </w:numPr>
        <w:tabs>
          <w:tab w:val="left" w:pos="720"/>
        </w:tabs>
        <w:spacing w:after="0" w:line="240" w:lineRule="auto"/>
        <w:ind w:left="540" w:hanging="540"/>
        <w:contextualSpacing/>
        <w:jc w:val="both"/>
        <w:rPr>
          <w:rFonts w:ascii="Times New Roman" w:eastAsia="SimSun" w:hAnsi="Times New Roman" w:cs="Times New Roman"/>
          <w:b/>
          <w:lang w:eastAsia="zh-CN"/>
        </w:rPr>
      </w:pPr>
      <w:r>
        <w:rPr>
          <w:rFonts w:ascii="Times New Roman" w:eastAsia="SimSun" w:hAnsi="Times New Roman" w:cs="Times New Roman"/>
          <w:b/>
          <w:lang w:eastAsia="zh-CN"/>
        </w:rPr>
        <w:t xml:space="preserve">Adjournment </w:t>
      </w:r>
    </w:p>
    <w:p w14:paraId="59ED5584" w14:textId="77777777" w:rsidR="00BC78E4" w:rsidRPr="0080101F" w:rsidRDefault="00BC78E4" w:rsidP="00BB2A9A">
      <w:pPr>
        <w:tabs>
          <w:tab w:val="left" w:pos="720"/>
        </w:tabs>
        <w:spacing w:after="0" w:line="240" w:lineRule="auto"/>
        <w:ind w:left="540"/>
        <w:contextualSpacing/>
        <w:jc w:val="both"/>
        <w:rPr>
          <w:rFonts w:ascii="Times New Roman" w:eastAsia="SimSun" w:hAnsi="Times New Roman" w:cs="Times New Roman"/>
          <w:bCs/>
          <w:lang w:eastAsia="zh-CN"/>
        </w:rPr>
      </w:pPr>
    </w:p>
    <w:sectPr w:rsidR="00BC78E4" w:rsidRPr="0080101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8778AD" w14:textId="77777777" w:rsidR="00AF2C7B" w:rsidRDefault="00AF2C7B" w:rsidP="00D56E4D">
      <w:pPr>
        <w:spacing w:after="0" w:line="240" w:lineRule="auto"/>
      </w:pPr>
      <w:r>
        <w:separator/>
      </w:r>
    </w:p>
  </w:endnote>
  <w:endnote w:type="continuationSeparator" w:id="0">
    <w:p w14:paraId="4950ACAC" w14:textId="77777777" w:rsidR="00AF2C7B" w:rsidRDefault="00AF2C7B" w:rsidP="00D56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86FC56" w14:textId="77777777" w:rsidR="00AF2C7B" w:rsidRDefault="00AF2C7B" w:rsidP="00D56E4D">
      <w:pPr>
        <w:spacing w:after="0" w:line="240" w:lineRule="auto"/>
      </w:pPr>
      <w:r>
        <w:separator/>
      </w:r>
    </w:p>
  </w:footnote>
  <w:footnote w:type="continuationSeparator" w:id="0">
    <w:p w14:paraId="09268BD3" w14:textId="77777777" w:rsidR="00AF2C7B" w:rsidRDefault="00AF2C7B" w:rsidP="00D56E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163F1C"/>
    <w:multiLevelType w:val="hybridMultilevel"/>
    <w:tmpl w:val="0B648164"/>
    <w:lvl w:ilvl="0" w:tplc="600E7EF2">
      <w:start w:val="1"/>
      <w:numFmt w:val="upperRoman"/>
      <w:lvlText w:val="%1."/>
      <w:lvlJc w:val="left"/>
      <w:pPr>
        <w:tabs>
          <w:tab w:val="num" w:pos="1080"/>
        </w:tabs>
        <w:ind w:left="1080" w:hanging="720"/>
      </w:pPr>
      <w:rPr>
        <w:b/>
      </w:rPr>
    </w:lvl>
    <w:lvl w:ilvl="1" w:tplc="AE1E5B42">
      <w:start w:val="1"/>
      <w:numFmt w:val="upperLetter"/>
      <w:lvlText w:val="%2."/>
      <w:lvlJc w:val="left"/>
      <w:pPr>
        <w:tabs>
          <w:tab w:val="num" w:pos="1440"/>
        </w:tabs>
        <w:ind w:left="1440" w:hanging="360"/>
      </w:pPr>
      <w:rPr>
        <w:b/>
      </w:rPr>
    </w:lvl>
    <w:lvl w:ilvl="2" w:tplc="ECD0A0B6">
      <w:start w:val="1"/>
      <w:numFmt w:val="decimal"/>
      <w:lvlText w:val="%3."/>
      <w:lvlJc w:val="left"/>
      <w:pPr>
        <w:tabs>
          <w:tab w:val="num" w:pos="1620"/>
        </w:tabs>
        <w:ind w:left="1620" w:hanging="360"/>
      </w:pPr>
      <w:rPr>
        <w:b/>
        <w:sz w:val="22"/>
        <w:szCs w:val="22"/>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E4D"/>
    <w:rsid w:val="00004F4F"/>
    <w:rsid w:val="00025A81"/>
    <w:rsid w:val="00061550"/>
    <w:rsid w:val="000856D5"/>
    <w:rsid w:val="00095D35"/>
    <w:rsid w:val="000E6443"/>
    <w:rsid w:val="00152306"/>
    <w:rsid w:val="0016701C"/>
    <w:rsid w:val="0017593E"/>
    <w:rsid w:val="00224FA2"/>
    <w:rsid w:val="0023620F"/>
    <w:rsid w:val="00245B60"/>
    <w:rsid w:val="00257E04"/>
    <w:rsid w:val="002620EF"/>
    <w:rsid w:val="002959CB"/>
    <w:rsid w:val="00297D64"/>
    <w:rsid w:val="002C0A6F"/>
    <w:rsid w:val="002F4D23"/>
    <w:rsid w:val="00330C2E"/>
    <w:rsid w:val="00373F27"/>
    <w:rsid w:val="0037607A"/>
    <w:rsid w:val="00432FB8"/>
    <w:rsid w:val="004864D2"/>
    <w:rsid w:val="0053316B"/>
    <w:rsid w:val="005E3410"/>
    <w:rsid w:val="00625D53"/>
    <w:rsid w:val="0065396A"/>
    <w:rsid w:val="006A5E64"/>
    <w:rsid w:val="006D77C3"/>
    <w:rsid w:val="00706544"/>
    <w:rsid w:val="0072561F"/>
    <w:rsid w:val="00736F4B"/>
    <w:rsid w:val="00795822"/>
    <w:rsid w:val="007D1614"/>
    <w:rsid w:val="0080101F"/>
    <w:rsid w:val="00804A02"/>
    <w:rsid w:val="008A43E1"/>
    <w:rsid w:val="008E141D"/>
    <w:rsid w:val="00953F69"/>
    <w:rsid w:val="009573A9"/>
    <w:rsid w:val="00A41F0C"/>
    <w:rsid w:val="00A93EDE"/>
    <w:rsid w:val="00AD196C"/>
    <w:rsid w:val="00AD2920"/>
    <w:rsid w:val="00AF1D35"/>
    <w:rsid w:val="00AF2C7B"/>
    <w:rsid w:val="00B700FE"/>
    <w:rsid w:val="00B848E1"/>
    <w:rsid w:val="00BB2A9A"/>
    <w:rsid w:val="00BC78E4"/>
    <w:rsid w:val="00BD4809"/>
    <w:rsid w:val="00C457D5"/>
    <w:rsid w:val="00C47693"/>
    <w:rsid w:val="00CD1785"/>
    <w:rsid w:val="00CF5344"/>
    <w:rsid w:val="00D363A6"/>
    <w:rsid w:val="00D56E4D"/>
    <w:rsid w:val="00D840CD"/>
    <w:rsid w:val="00DB0008"/>
    <w:rsid w:val="00DF056D"/>
    <w:rsid w:val="00E15F23"/>
    <w:rsid w:val="00E34882"/>
    <w:rsid w:val="00EA1369"/>
    <w:rsid w:val="00ED7AA8"/>
    <w:rsid w:val="00F6055E"/>
    <w:rsid w:val="00F61D08"/>
    <w:rsid w:val="00F911B7"/>
    <w:rsid w:val="00FA0192"/>
    <w:rsid w:val="00FD5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7B5FB"/>
  <w15:docId w15:val="{EC334069-A3C4-47A5-A49C-884A26A6A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E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56E4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D56E4D"/>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D56E4D"/>
    <w:rPr>
      <w:vertAlign w:val="superscript"/>
    </w:rPr>
  </w:style>
  <w:style w:type="paragraph" w:styleId="ListParagraph">
    <w:name w:val="List Paragraph"/>
    <w:basedOn w:val="Normal"/>
    <w:uiPriority w:val="34"/>
    <w:qFormat/>
    <w:rsid w:val="00224FA2"/>
    <w:pPr>
      <w:ind w:left="720"/>
      <w:contextualSpacing/>
    </w:pPr>
  </w:style>
  <w:style w:type="paragraph" w:styleId="NoSpacing">
    <w:name w:val="No Spacing"/>
    <w:uiPriority w:val="1"/>
    <w:qFormat/>
    <w:rsid w:val="00224FA2"/>
    <w:pPr>
      <w:widowControl w:val="0"/>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856D5"/>
    <w:rPr>
      <w:color w:val="0000FF" w:themeColor="hyperlink"/>
      <w:u w:val="single"/>
    </w:rPr>
  </w:style>
  <w:style w:type="character" w:styleId="UnresolvedMention">
    <w:name w:val="Unresolved Mention"/>
    <w:basedOn w:val="DefaultParagraphFont"/>
    <w:uiPriority w:val="99"/>
    <w:semiHidden/>
    <w:unhideWhenUsed/>
    <w:rsid w:val="00CF5344"/>
    <w:rPr>
      <w:color w:val="605E5C"/>
      <w:shd w:val="clear" w:color="auto" w:fill="E1DFDD"/>
    </w:rPr>
  </w:style>
  <w:style w:type="paragraph" w:styleId="BalloonText">
    <w:name w:val="Balloon Text"/>
    <w:basedOn w:val="Normal"/>
    <w:link w:val="BalloonTextChar"/>
    <w:uiPriority w:val="99"/>
    <w:semiHidden/>
    <w:unhideWhenUsed/>
    <w:rsid w:val="007065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544"/>
    <w:rPr>
      <w:rFonts w:ascii="Segoe UI" w:hAnsi="Segoe UI" w:cs="Segoe UI"/>
      <w:sz w:val="18"/>
      <w:szCs w:val="18"/>
    </w:rPr>
  </w:style>
  <w:style w:type="character" w:styleId="Strong">
    <w:name w:val="Strong"/>
    <w:basedOn w:val="DefaultParagraphFont"/>
    <w:uiPriority w:val="22"/>
    <w:qFormat/>
    <w:rsid w:val="0080101F"/>
    <w:rPr>
      <w:b/>
      <w:bCs/>
    </w:rPr>
  </w:style>
  <w:style w:type="paragraph" w:styleId="NormalWeb">
    <w:name w:val="Normal (Web)"/>
    <w:basedOn w:val="Normal"/>
    <w:uiPriority w:val="99"/>
    <w:semiHidden/>
    <w:unhideWhenUsed/>
    <w:rsid w:val="00BC78E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27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cnet.webex.com/dcnet/onstage/g.php?MTID=ec7292b3231373f1732a0b2446cd2a10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wynter.clarke@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EC29F-A8E7-4A41-9D83-D69A45911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2540</Words>
  <Characters>14481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16988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Murphy, Sommer J. (OEA)</dc:creator>
  <cp:lastModifiedBy>Clarke, Wynter (OEA)</cp:lastModifiedBy>
  <cp:revision>7</cp:revision>
  <dcterms:created xsi:type="dcterms:W3CDTF">2021-06-08T16:52:00Z</dcterms:created>
  <dcterms:modified xsi:type="dcterms:W3CDTF">2021-06-09T18:55:00Z</dcterms:modified>
</cp:coreProperties>
</file>