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F3DF" w14:textId="77777777" w:rsidR="00D57B5D" w:rsidRPr="00746ED9" w:rsidRDefault="00D57B5D" w:rsidP="00D57B5D">
      <w:pPr>
        <w:jc w:val="center"/>
        <w:rPr>
          <w:b/>
          <w:bCs/>
          <w:color w:val="000000" w:themeColor="text1"/>
          <w:sz w:val="22"/>
          <w:szCs w:val="22"/>
          <w:lang w:eastAsia="zh-CN"/>
        </w:rPr>
      </w:pPr>
      <w:r w:rsidRPr="00746ED9">
        <w:rPr>
          <w:b/>
          <w:bCs/>
          <w:color w:val="000000" w:themeColor="text1"/>
          <w:sz w:val="22"/>
          <w:szCs w:val="22"/>
          <w:lang w:eastAsia="zh-CN"/>
        </w:rPr>
        <w:t>DISTRICT OF COLUMBIA</w:t>
      </w:r>
    </w:p>
    <w:p w14:paraId="0CD697FE" w14:textId="77777777" w:rsidR="00D57B5D" w:rsidRPr="00746ED9" w:rsidRDefault="00D57B5D" w:rsidP="00D57B5D">
      <w:pPr>
        <w:jc w:val="center"/>
        <w:rPr>
          <w:b/>
          <w:bCs/>
          <w:color w:val="000000" w:themeColor="text1"/>
          <w:sz w:val="22"/>
          <w:szCs w:val="22"/>
          <w:lang w:eastAsia="zh-CN"/>
        </w:rPr>
      </w:pPr>
      <w:r w:rsidRPr="00746ED9">
        <w:rPr>
          <w:b/>
          <w:bCs/>
          <w:color w:val="000000" w:themeColor="text1"/>
          <w:sz w:val="22"/>
          <w:szCs w:val="22"/>
          <w:lang w:eastAsia="zh-CN"/>
        </w:rPr>
        <w:t>OFFICE OF EMPLOYEE APPEALS</w:t>
      </w:r>
    </w:p>
    <w:p w14:paraId="1F91A6FE" w14:textId="77777777" w:rsidR="00D57B5D" w:rsidRPr="00176979" w:rsidRDefault="00D57B5D" w:rsidP="00D57B5D">
      <w:pPr>
        <w:jc w:val="center"/>
        <w:rPr>
          <w:b/>
          <w:bCs/>
          <w:color w:val="000000" w:themeColor="text1"/>
          <w:sz w:val="12"/>
          <w:szCs w:val="12"/>
          <w:lang w:eastAsia="zh-CN"/>
        </w:rPr>
      </w:pPr>
    </w:p>
    <w:p w14:paraId="31C02F32" w14:textId="77777777" w:rsidR="00D57B5D" w:rsidRPr="00746ED9" w:rsidRDefault="00D57B5D" w:rsidP="00D57B5D">
      <w:pPr>
        <w:jc w:val="center"/>
        <w:rPr>
          <w:b/>
          <w:bCs/>
          <w:color w:val="000000" w:themeColor="text1"/>
          <w:sz w:val="22"/>
          <w:szCs w:val="22"/>
          <w:lang w:eastAsia="zh-CN"/>
        </w:rPr>
      </w:pPr>
      <w:r w:rsidRPr="00746ED9">
        <w:rPr>
          <w:b/>
          <w:bCs/>
          <w:color w:val="000000" w:themeColor="text1"/>
          <w:sz w:val="22"/>
          <w:szCs w:val="22"/>
          <w:lang w:eastAsia="zh-CN"/>
        </w:rPr>
        <w:t>NOTICE OF PUBLIC MEETING</w:t>
      </w:r>
    </w:p>
    <w:p w14:paraId="34DF7199" w14:textId="77777777" w:rsidR="00D57B5D" w:rsidRPr="00176979" w:rsidRDefault="00D57B5D" w:rsidP="00D57B5D">
      <w:pPr>
        <w:jc w:val="both"/>
        <w:rPr>
          <w:b/>
          <w:bCs/>
          <w:color w:val="000000" w:themeColor="text1"/>
          <w:sz w:val="12"/>
          <w:szCs w:val="12"/>
          <w:lang w:eastAsia="zh-CN"/>
        </w:rPr>
      </w:pPr>
      <w:r w:rsidRPr="00746ED9">
        <w:rPr>
          <w:b/>
          <w:bCs/>
          <w:color w:val="000000" w:themeColor="text1"/>
          <w:sz w:val="22"/>
          <w:szCs w:val="22"/>
          <w:lang w:eastAsia="zh-CN"/>
        </w:rPr>
        <w:t> </w:t>
      </w:r>
    </w:p>
    <w:p w14:paraId="461C8CF3" w14:textId="03E23A15" w:rsidR="00B500D0" w:rsidRPr="00B500D0" w:rsidRDefault="00B500D0" w:rsidP="00B500D0">
      <w:pPr>
        <w:contextualSpacing/>
        <w:jc w:val="both"/>
        <w:rPr>
          <w:sz w:val="22"/>
          <w:szCs w:val="22"/>
        </w:rPr>
      </w:pPr>
      <w:r w:rsidRPr="00B500D0">
        <w:rPr>
          <w:sz w:val="22"/>
          <w:szCs w:val="22"/>
        </w:rPr>
        <w:t xml:space="preserve">The District of Columbia Office of Employee Appeals will hold a meeting on </w:t>
      </w:r>
      <w:r w:rsidR="008125F8">
        <w:rPr>
          <w:sz w:val="22"/>
          <w:szCs w:val="22"/>
        </w:rPr>
        <w:t>June 4</w:t>
      </w:r>
      <w:r w:rsidRPr="00B500D0">
        <w:rPr>
          <w:sz w:val="22"/>
          <w:szCs w:val="22"/>
        </w:rPr>
        <w:t>, 2026, at 9:30 a.m. The Board will meet remotely. Below is the agenda for the meeting.</w:t>
      </w:r>
    </w:p>
    <w:p w14:paraId="0E32B40A" w14:textId="77777777" w:rsidR="00D57B5D" w:rsidRPr="00D87F65" w:rsidRDefault="00D57B5D" w:rsidP="00D57B5D">
      <w:pPr>
        <w:contextualSpacing/>
        <w:jc w:val="both"/>
        <w:rPr>
          <w:sz w:val="12"/>
          <w:szCs w:val="12"/>
        </w:rPr>
      </w:pPr>
    </w:p>
    <w:p w14:paraId="4A31AC8A" w14:textId="77777777" w:rsidR="00D57B5D" w:rsidRDefault="00D57B5D" w:rsidP="00D57B5D">
      <w:pPr>
        <w:contextualSpacing/>
        <w:jc w:val="both"/>
        <w:rPr>
          <w:sz w:val="22"/>
          <w:szCs w:val="22"/>
        </w:rPr>
      </w:pPr>
      <w:r w:rsidRPr="00D87F65">
        <w:rPr>
          <w:sz w:val="22"/>
          <w:szCs w:val="22"/>
        </w:rPr>
        <w:t xml:space="preserve">Members of the public are welcome to observe the meeting. </w:t>
      </w:r>
      <w:proofErr w:type="gramStart"/>
      <w:r w:rsidRPr="00D87F65">
        <w:rPr>
          <w:sz w:val="22"/>
          <w:szCs w:val="22"/>
        </w:rPr>
        <w:t>In order to</w:t>
      </w:r>
      <w:proofErr w:type="gramEnd"/>
      <w:r w:rsidRPr="00D87F65">
        <w:rPr>
          <w:sz w:val="22"/>
          <w:szCs w:val="22"/>
        </w:rPr>
        <w:t xml:space="preserve"> attend the meeting, please visit: </w:t>
      </w:r>
    </w:p>
    <w:p w14:paraId="2283F42F" w14:textId="40ADCFF5" w:rsidR="008125F8" w:rsidRPr="00D87F65" w:rsidRDefault="008125F8" w:rsidP="00D57B5D">
      <w:pPr>
        <w:contextualSpacing/>
        <w:jc w:val="both"/>
        <w:rPr>
          <w:sz w:val="22"/>
          <w:szCs w:val="22"/>
        </w:rPr>
      </w:pPr>
      <w:hyperlink r:id="rId8" w:tgtFrame="_blank" w:history="1">
        <w:r w:rsidRPr="008125F8">
          <w:rPr>
            <w:rStyle w:val="Hyperlink"/>
            <w:sz w:val="22"/>
            <w:szCs w:val="22"/>
          </w:rPr>
          <w:t>https://dcnet.webex.com/dcnet/j.php?MTID=m93709b613a741951b3948326c7189d40</w:t>
        </w:r>
      </w:hyperlink>
    </w:p>
    <w:p w14:paraId="6EB4F9DB" w14:textId="77777777" w:rsidR="00D57B5D" w:rsidRPr="00D87F65" w:rsidRDefault="00D57B5D" w:rsidP="00D57B5D">
      <w:pPr>
        <w:contextualSpacing/>
        <w:jc w:val="both"/>
        <w:rPr>
          <w:sz w:val="12"/>
          <w:szCs w:val="12"/>
        </w:rPr>
      </w:pPr>
    </w:p>
    <w:p w14:paraId="2FE22A97" w14:textId="77777777" w:rsidR="00D57B5D" w:rsidRPr="00D87F65" w:rsidRDefault="00D57B5D" w:rsidP="00D57B5D">
      <w:pPr>
        <w:contextualSpacing/>
        <w:jc w:val="both"/>
        <w:rPr>
          <w:sz w:val="22"/>
          <w:szCs w:val="22"/>
        </w:rPr>
      </w:pPr>
      <w:r w:rsidRPr="00D87F65">
        <w:rPr>
          <w:sz w:val="22"/>
          <w:szCs w:val="22"/>
        </w:rPr>
        <w:t>Password: Board (26274 from phones and video systems)</w:t>
      </w:r>
    </w:p>
    <w:p w14:paraId="1288A937" w14:textId="77777777" w:rsidR="00D57B5D" w:rsidRPr="00D87F65" w:rsidRDefault="00D57B5D" w:rsidP="00D57B5D">
      <w:pPr>
        <w:contextualSpacing/>
        <w:jc w:val="both"/>
        <w:rPr>
          <w:sz w:val="12"/>
          <w:szCs w:val="12"/>
        </w:rPr>
      </w:pPr>
    </w:p>
    <w:p w14:paraId="2C388B19" w14:textId="77777777" w:rsidR="00D6373D" w:rsidRPr="00D87F65" w:rsidRDefault="00D6373D" w:rsidP="00D57B5D">
      <w:pPr>
        <w:contextualSpacing/>
        <w:jc w:val="both"/>
        <w:rPr>
          <w:sz w:val="12"/>
          <w:szCs w:val="12"/>
        </w:rPr>
      </w:pPr>
    </w:p>
    <w:p w14:paraId="0B78865C" w14:textId="77777777" w:rsidR="00D57B5D" w:rsidRPr="00D87F65" w:rsidRDefault="00D57B5D" w:rsidP="00D57B5D">
      <w:pPr>
        <w:contextualSpacing/>
        <w:jc w:val="both"/>
        <w:rPr>
          <w:sz w:val="22"/>
          <w:szCs w:val="22"/>
        </w:rPr>
      </w:pPr>
      <w:r w:rsidRPr="00D87F65">
        <w:rPr>
          <w:sz w:val="22"/>
          <w:szCs w:val="22"/>
        </w:rPr>
        <w:t xml:space="preserve">We recommend logging in ten (10) minutes before the meeting starts. </w:t>
      </w:r>
      <w:proofErr w:type="gramStart"/>
      <w:r w:rsidRPr="00D87F65">
        <w:rPr>
          <w:sz w:val="22"/>
          <w:szCs w:val="22"/>
        </w:rPr>
        <w:t>In order to</w:t>
      </w:r>
      <w:proofErr w:type="gramEnd"/>
      <w:r w:rsidRPr="00D87F65">
        <w:rPr>
          <w:sz w:val="22"/>
          <w:szCs w:val="22"/>
        </w:rPr>
        <w:t xml:space="preserve"> access Webex, laptop or desktop computer users must use Google Chrome, Firefox, or Microsoft Edge Browsers.</w:t>
      </w:r>
    </w:p>
    <w:p w14:paraId="29C73E15" w14:textId="77777777" w:rsidR="00D57B5D" w:rsidRPr="00D87F65" w:rsidRDefault="00D57B5D" w:rsidP="00D57B5D">
      <w:pPr>
        <w:contextualSpacing/>
        <w:jc w:val="both"/>
        <w:rPr>
          <w:sz w:val="12"/>
          <w:szCs w:val="12"/>
        </w:rPr>
      </w:pPr>
    </w:p>
    <w:p w14:paraId="5BA56A1E" w14:textId="77777777" w:rsidR="00D57B5D" w:rsidRPr="00D87F65" w:rsidRDefault="00D57B5D" w:rsidP="00D57B5D">
      <w:pPr>
        <w:contextualSpacing/>
        <w:jc w:val="both"/>
        <w:rPr>
          <w:sz w:val="22"/>
          <w:szCs w:val="22"/>
        </w:rPr>
      </w:pPr>
      <w:r w:rsidRPr="00D87F65">
        <w:rPr>
          <w:sz w:val="22"/>
          <w:szCs w:val="22"/>
        </w:rPr>
        <w:t xml:space="preserve">Smartphone/Tablets or iPad user must first go to the App Store, download the Webex App (Cisco Webex Meetings), enter the Access Code, and enter your name, email address, and click Join. It is recommended that a laptop or desktop computer be utilized for this platform.  </w:t>
      </w:r>
    </w:p>
    <w:p w14:paraId="73E4ED77" w14:textId="77777777" w:rsidR="00D57B5D" w:rsidRPr="00D87F65" w:rsidRDefault="00D57B5D" w:rsidP="00D57B5D">
      <w:pPr>
        <w:contextualSpacing/>
        <w:jc w:val="both"/>
        <w:rPr>
          <w:sz w:val="12"/>
          <w:szCs w:val="12"/>
        </w:rPr>
      </w:pPr>
    </w:p>
    <w:p w14:paraId="3076F600" w14:textId="77777777" w:rsidR="00D57B5D" w:rsidRPr="00D87F65" w:rsidRDefault="00D57B5D" w:rsidP="00D57B5D">
      <w:pPr>
        <w:contextualSpacing/>
        <w:jc w:val="both"/>
        <w:rPr>
          <w:sz w:val="22"/>
          <w:szCs w:val="22"/>
        </w:rPr>
      </w:pPr>
      <w:r w:rsidRPr="00D87F65">
        <w:rPr>
          <w:sz w:val="22"/>
          <w:szCs w:val="22"/>
        </w:rPr>
        <w:t xml:space="preserve">Your computer, tablet, or smartphone’s built-in speaker and microphone will be used in the virtual meeting unless you use a headset.  Headsets provide better sound quality and privacy.  </w:t>
      </w:r>
    </w:p>
    <w:p w14:paraId="5EC83CEF" w14:textId="77777777" w:rsidR="00D57B5D" w:rsidRPr="00D87F65" w:rsidRDefault="00D57B5D" w:rsidP="00D57B5D">
      <w:pPr>
        <w:contextualSpacing/>
        <w:jc w:val="both"/>
        <w:rPr>
          <w:sz w:val="12"/>
          <w:szCs w:val="12"/>
        </w:rPr>
      </w:pPr>
    </w:p>
    <w:p w14:paraId="7BA5ACFC" w14:textId="5CB06090" w:rsidR="007A2411" w:rsidRPr="007A2411" w:rsidRDefault="007A2411" w:rsidP="007A2411">
      <w:pPr>
        <w:contextualSpacing/>
        <w:jc w:val="both"/>
        <w:rPr>
          <w:sz w:val="22"/>
          <w:szCs w:val="22"/>
        </w:rPr>
      </w:pPr>
      <w:r w:rsidRPr="007A2411">
        <w:rPr>
          <w:sz w:val="22"/>
          <w:szCs w:val="22"/>
        </w:rPr>
        <w:t xml:space="preserve">If you do not have access to the internet, please call-in toll number (US/Canada) 1-650-479-3208, Access Code: </w:t>
      </w:r>
      <w:r w:rsidR="008125F8">
        <w:rPr>
          <w:sz w:val="22"/>
          <w:szCs w:val="22"/>
        </w:rPr>
        <w:t>2307 281 8420</w:t>
      </w:r>
    </w:p>
    <w:p w14:paraId="395F4040" w14:textId="77777777" w:rsidR="00D57B5D" w:rsidRPr="00D87F65" w:rsidRDefault="00D57B5D" w:rsidP="00D57B5D">
      <w:pPr>
        <w:contextualSpacing/>
        <w:jc w:val="both"/>
        <w:rPr>
          <w:sz w:val="12"/>
          <w:szCs w:val="12"/>
        </w:rPr>
      </w:pPr>
    </w:p>
    <w:p w14:paraId="16309897" w14:textId="77777777" w:rsidR="00D57B5D" w:rsidRPr="006E7BBB" w:rsidRDefault="00D57B5D" w:rsidP="00D57B5D">
      <w:pPr>
        <w:contextualSpacing/>
        <w:jc w:val="both"/>
        <w:rPr>
          <w:sz w:val="22"/>
          <w:szCs w:val="22"/>
        </w:rPr>
      </w:pPr>
      <w:r w:rsidRPr="00D87F65">
        <w:rPr>
          <w:sz w:val="22"/>
          <w:szCs w:val="22"/>
        </w:rPr>
        <w:t xml:space="preserve">Questions about the meeting may be directed to </w:t>
      </w:r>
      <w:hyperlink r:id="rId9" w:history="1">
        <w:r w:rsidRPr="00D87F65">
          <w:rPr>
            <w:rStyle w:val="Hyperlink"/>
            <w:color w:val="auto"/>
            <w:sz w:val="22"/>
            <w:szCs w:val="22"/>
          </w:rPr>
          <w:t>wynter.clarke@dc.gov</w:t>
        </w:r>
      </w:hyperlink>
      <w:r w:rsidRPr="00D87F65">
        <w:rPr>
          <w:sz w:val="22"/>
          <w:szCs w:val="22"/>
        </w:rPr>
        <w:t>.</w:t>
      </w:r>
    </w:p>
    <w:p w14:paraId="615A9B51" w14:textId="77777777" w:rsidR="00D57B5D" w:rsidRPr="00E52BC3" w:rsidRDefault="00D57B5D" w:rsidP="00D57B5D">
      <w:pPr>
        <w:rPr>
          <w:color w:val="000000" w:themeColor="text1"/>
          <w:sz w:val="22"/>
          <w:szCs w:val="22"/>
          <w:highlight w:val="yellow"/>
          <w:lang w:eastAsia="zh-CN"/>
        </w:rPr>
      </w:pPr>
    </w:p>
    <w:p w14:paraId="6C0550AF" w14:textId="77777777" w:rsidR="00D57B5D" w:rsidRPr="00B71DF0" w:rsidRDefault="00D57B5D" w:rsidP="00D57B5D">
      <w:pPr>
        <w:jc w:val="center"/>
        <w:rPr>
          <w:rFonts w:eastAsia="SimSun"/>
          <w:b/>
          <w:sz w:val="22"/>
          <w:szCs w:val="22"/>
          <w:lang w:eastAsia="zh-CN"/>
        </w:rPr>
      </w:pPr>
      <w:r w:rsidRPr="00B71DF0">
        <w:rPr>
          <w:rFonts w:eastAsia="SimSun"/>
          <w:b/>
          <w:sz w:val="22"/>
          <w:szCs w:val="22"/>
          <w:lang w:eastAsia="zh-CN"/>
        </w:rPr>
        <w:t>Agenda</w:t>
      </w:r>
    </w:p>
    <w:p w14:paraId="22F536BF" w14:textId="77777777" w:rsidR="00D57B5D" w:rsidRPr="00B71DF0" w:rsidRDefault="00D57B5D" w:rsidP="00D57B5D">
      <w:pPr>
        <w:jc w:val="center"/>
        <w:rPr>
          <w:rFonts w:eastAsia="SimSun"/>
          <w:sz w:val="22"/>
          <w:szCs w:val="22"/>
          <w:lang w:eastAsia="zh-CN"/>
        </w:rPr>
      </w:pPr>
      <w:r w:rsidRPr="00B71DF0">
        <w:rPr>
          <w:rFonts w:eastAsia="SimSun"/>
          <w:sz w:val="22"/>
          <w:szCs w:val="22"/>
          <w:lang w:eastAsia="zh-CN"/>
        </w:rPr>
        <w:t>D.C. OFFICE OF EMPLOYEE APPEALS (“OEA”) BOARD MEETING</w:t>
      </w:r>
    </w:p>
    <w:p w14:paraId="344209E4" w14:textId="5F528F9C" w:rsidR="00D57B5D" w:rsidRPr="00B71DF0" w:rsidRDefault="00D57B5D" w:rsidP="00D57B5D">
      <w:pPr>
        <w:jc w:val="center"/>
        <w:rPr>
          <w:rFonts w:eastAsia="SimSun"/>
          <w:sz w:val="22"/>
          <w:szCs w:val="22"/>
          <w:lang w:eastAsia="zh-CN"/>
        </w:rPr>
      </w:pPr>
      <w:r w:rsidRPr="009C2EE4">
        <w:rPr>
          <w:rFonts w:eastAsia="SimSun"/>
          <w:sz w:val="22"/>
          <w:szCs w:val="22"/>
          <w:lang w:eastAsia="zh-CN"/>
        </w:rPr>
        <w:t xml:space="preserve">Thursday, </w:t>
      </w:r>
      <w:r w:rsidR="008125F8">
        <w:rPr>
          <w:rFonts w:eastAsia="SimSun"/>
          <w:sz w:val="22"/>
          <w:szCs w:val="22"/>
          <w:lang w:eastAsia="zh-CN"/>
        </w:rPr>
        <w:t>June 4,</w:t>
      </w:r>
      <w:r>
        <w:rPr>
          <w:rFonts w:eastAsia="SimSun"/>
          <w:sz w:val="22"/>
          <w:szCs w:val="22"/>
          <w:lang w:eastAsia="zh-CN"/>
        </w:rPr>
        <w:t xml:space="preserve"> 2026</w:t>
      </w:r>
      <w:r w:rsidRPr="009C2EE4">
        <w:rPr>
          <w:rFonts w:eastAsia="SimSun"/>
          <w:sz w:val="22"/>
          <w:szCs w:val="22"/>
          <w:lang w:eastAsia="zh-CN"/>
        </w:rPr>
        <w:t>, at 9:30 a.m.</w:t>
      </w:r>
    </w:p>
    <w:p w14:paraId="648234C3" w14:textId="77777777" w:rsidR="00D57B5D" w:rsidRPr="00B71DF0" w:rsidRDefault="00D57B5D" w:rsidP="00D57B5D">
      <w:pPr>
        <w:jc w:val="center"/>
        <w:rPr>
          <w:rFonts w:eastAsia="SimSun"/>
          <w:sz w:val="22"/>
          <w:szCs w:val="22"/>
          <w:lang w:eastAsia="zh-CN"/>
        </w:rPr>
      </w:pPr>
      <w:r w:rsidRPr="00B71DF0">
        <w:rPr>
          <w:rFonts w:eastAsia="SimSun"/>
          <w:sz w:val="22"/>
          <w:szCs w:val="22"/>
          <w:lang w:eastAsia="zh-CN"/>
        </w:rPr>
        <w:t>Location: Virtual Meeting via Webex</w:t>
      </w:r>
    </w:p>
    <w:p w14:paraId="722EFADF" w14:textId="77777777" w:rsidR="00D57B5D" w:rsidRPr="003B5B18" w:rsidRDefault="00D57B5D" w:rsidP="00D57B5D">
      <w:pPr>
        <w:jc w:val="center"/>
        <w:rPr>
          <w:rFonts w:eastAsia="SimSun"/>
          <w:sz w:val="12"/>
          <w:szCs w:val="12"/>
          <w:lang w:eastAsia="zh-CN"/>
        </w:rPr>
      </w:pPr>
    </w:p>
    <w:p w14:paraId="0F5B3BA5" w14:textId="77777777" w:rsidR="00D57B5D" w:rsidRPr="00B71DF0" w:rsidRDefault="00D57B5D" w:rsidP="00D57B5D">
      <w:pPr>
        <w:widowControl/>
        <w:numPr>
          <w:ilvl w:val="0"/>
          <w:numId w:val="1"/>
        </w:numPr>
        <w:tabs>
          <w:tab w:val="num" w:pos="450"/>
        </w:tabs>
        <w:ind w:hanging="1080"/>
        <w:contextualSpacing/>
        <w:jc w:val="both"/>
        <w:rPr>
          <w:rFonts w:eastAsia="SimSun"/>
          <w:sz w:val="22"/>
          <w:szCs w:val="22"/>
          <w:lang w:eastAsia="zh-CN"/>
        </w:rPr>
      </w:pPr>
      <w:r w:rsidRPr="00B71DF0">
        <w:rPr>
          <w:rFonts w:eastAsia="SimSun"/>
          <w:b/>
          <w:sz w:val="22"/>
          <w:szCs w:val="22"/>
          <w:lang w:eastAsia="zh-CN"/>
        </w:rPr>
        <w:t xml:space="preserve">Call to Order </w:t>
      </w:r>
    </w:p>
    <w:p w14:paraId="3A0BDB85" w14:textId="77777777" w:rsidR="00D57B5D" w:rsidRPr="00A012BA" w:rsidRDefault="00D57B5D" w:rsidP="00D57B5D">
      <w:pPr>
        <w:ind w:left="1080"/>
        <w:contextualSpacing/>
        <w:jc w:val="both"/>
        <w:rPr>
          <w:rFonts w:eastAsia="SimSun"/>
          <w:sz w:val="12"/>
          <w:szCs w:val="12"/>
          <w:lang w:eastAsia="zh-CN"/>
        </w:rPr>
      </w:pPr>
    </w:p>
    <w:p w14:paraId="73F14818" w14:textId="77777777" w:rsidR="00D57B5D" w:rsidRPr="00B71DF0" w:rsidRDefault="00D57B5D" w:rsidP="00D57B5D">
      <w:pPr>
        <w:widowControl/>
        <w:numPr>
          <w:ilvl w:val="0"/>
          <w:numId w:val="1"/>
        </w:numPr>
        <w:tabs>
          <w:tab w:val="num" w:pos="450"/>
          <w:tab w:val="num" w:pos="720"/>
          <w:tab w:val="left" w:pos="900"/>
        </w:tabs>
        <w:ind w:hanging="1080"/>
        <w:contextualSpacing/>
        <w:jc w:val="both"/>
        <w:rPr>
          <w:rFonts w:eastAsia="SimSun"/>
          <w:sz w:val="22"/>
          <w:szCs w:val="22"/>
          <w:lang w:eastAsia="zh-CN"/>
        </w:rPr>
      </w:pPr>
      <w:r w:rsidRPr="00B71DF0">
        <w:rPr>
          <w:rFonts w:eastAsia="SimSun"/>
          <w:b/>
          <w:sz w:val="22"/>
          <w:szCs w:val="22"/>
          <w:lang w:eastAsia="zh-CN"/>
        </w:rPr>
        <w:t>Ascertainment of Quorum</w:t>
      </w:r>
    </w:p>
    <w:p w14:paraId="0A67A534" w14:textId="77777777" w:rsidR="00D57B5D" w:rsidRPr="00A012BA" w:rsidRDefault="00D57B5D" w:rsidP="00D57B5D">
      <w:pPr>
        <w:ind w:left="720"/>
        <w:contextualSpacing/>
        <w:rPr>
          <w:rFonts w:eastAsia="SimSun"/>
          <w:sz w:val="12"/>
          <w:szCs w:val="12"/>
          <w:lang w:eastAsia="zh-CN"/>
        </w:rPr>
      </w:pPr>
    </w:p>
    <w:p w14:paraId="45395F55" w14:textId="77777777" w:rsidR="00D57B5D" w:rsidRPr="00B71DF0" w:rsidRDefault="00D57B5D" w:rsidP="00D57B5D">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Adoption of Agenda</w:t>
      </w:r>
    </w:p>
    <w:p w14:paraId="450B167F" w14:textId="77777777" w:rsidR="00D57B5D" w:rsidRPr="00A012BA" w:rsidRDefault="00D57B5D" w:rsidP="00D57B5D">
      <w:pPr>
        <w:ind w:left="1080"/>
        <w:contextualSpacing/>
        <w:jc w:val="both"/>
        <w:rPr>
          <w:rFonts w:eastAsia="SimSun"/>
          <w:sz w:val="12"/>
          <w:szCs w:val="12"/>
          <w:lang w:eastAsia="zh-CN"/>
        </w:rPr>
      </w:pPr>
    </w:p>
    <w:p w14:paraId="556ADF13" w14:textId="77777777" w:rsidR="00D57B5D" w:rsidRPr="00B71DF0" w:rsidRDefault="00D57B5D" w:rsidP="00D57B5D">
      <w:pPr>
        <w:widowControl/>
        <w:numPr>
          <w:ilvl w:val="0"/>
          <w:numId w:val="1"/>
        </w:numPr>
        <w:tabs>
          <w:tab w:val="num" w:pos="450"/>
        </w:tabs>
        <w:ind w:hanging="1080"/>
        <w:jc w:val="both"/>
        <w:rPr>
          <w:rFonts w:eastAsia="SimSun"/>
          <w:b/>
          <w:sz w:val="22"/>
          <w:szCs w:val="22"/>
          <w:lang w:eastAsia="zh-CN"/>
        </w:rPr>
      </w:pPr>
      <w:r w:rsidRPr="00B71DF0">
        <w:rPr>
          <w:rFonts w:eastAsia="SimSun"/>
          <w:b/>
          <w:sz w:val="22"/>
          <w:szCs w:val="22"/>
          <w:lang w:eastAsia="zh-CN"/>
        </w:rPr>
        <w:t>Minutes Reviewed from Previous Meeting</w:t>
      </w:r>
    </w:p>
    <w:p w14:paraId="7FFCCD0A" w14:textId="77777777" w:rsidR="00D57B5D" w:rsidRPr="00A012BA" w:rsidRDefault="00D57B5D" w:rsidP="00D57B5D">
      <w:pPr>
        <w:tabs>
          <w:tab w:val="left" w:pos="1133"/>
        </w:tabs>
        <w:jc w:val="both"/>
        <w:rPr>
          <w:rFonts w:eastAsia="Calibri"/>
          <w:sz w:val="12"/>
          <w:szCs w:val="12"/>
        </w:rPr>
      </w:pPr>
      <w:r w:rsidRPr="00B71DF0">
        <w:rPr>
          <w:rFonts w:eastAsia="Calibri"/>
          <w:sz w:val="22"/>
          <w:szCs w:val="22"/>
        </w:rPr>
        <w:tab/>
      </w:r>
    </w:p>
    <w:p w14:paraId="2053037A" w14:textId="77777777" w:rsidR="00D57B5D" w:rsidRPr="00B71DF0" w:rsidRDefault="00D57B5D" w:rsidP="00D57B5D">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New Business</w:t>
      </w:r>
    </w:p>
    <w:p w14:paraId="2BB92920" w14:textId="77777777" w:rsidR="00D57B5D" w:rsidRPr="00E41D8F" w:rsidRDefault="00D57B5D" w:rsidP="00D57B5D">
      <w:pPr>
        <w:contextualSpacing/>
        <w:jc w:val="both"/>
        <w:rPr>
          <w:rFonts w:eastAsia="SimSun"/>
          <w:sz w:val="12"/>
          <w:szCs w:val="12"/>
          <w:lang w:eastAsia="zh-CN"/>
        </w:rPr>
      </w:pPr>
    </w:p>
    <w:p w14:paraId="2C735616" w14:textId="77777777" w:rsidR="00D57B5D" w:rsidRPr="00DD43BD" w:rsidRDefault="00D57B5D" w:rsidP="00DD43BD">
      <w:pPr>
        <w:widowControl/>
        <w:numPr>
          <w:ilvl w:val="1"/>
          <w:numId w:val="1"/>
        </w:numPr>
        <w:tabs>
          <w:tab w:val="num" w:pos="900"/>
        </w:tabs>
        <w:ind w:hanging="990"/>
        <w:contextualSpacing/>
        <w:jc w:val="both"/>
        <w:rPr>
          <w:rFonts w:eastAsia="SimSun"/>
          <w:b/>
          <w:sz w:val="22"/>
          <w:szCs w:val="22"/>
          <w:lang w:eastAsia="zh-CN"/>
        </w:rPr>
      </w:pPr>
      <w:r w:rsidRPr="00DD43BD">
        <w:rPr>
          <w:rFonts w:eastAsia="SimSun"/>
          <w:b/>
          <w:sz w:val="22"/>
          <w:szCs w:val="22"/>
          <w:lang w:eastAsia="zh-CN"/>
        </w:rPr>
        <w:t>Summary of Cases</w:t>
      </w:r>
    </w:p>
    <w:p w14:paraId="5FBA4F13" w14:textId="77777777" w:rsidR="00D57B5D" w:rsidRPr="00E60A68" w:rsidRDefault="00D57B5D" w:rsidP="00D57B5D">
      <w:pPr>
        <w:pStyle w:val="ListParagraph"/>
        <w:rPr>
          <w:rFonts w:eastAsia="SimSun"/>
          <w:b/>
          <w:sz w:val="12"/>
          <w:szCs w:val="12"/>
          <w:lang w:eastAsia="zh-CN"/>
        </w:rPr>
      </w:pPr>
    </w:p>
    <w:p w14:paraId="759BF4D7" w14:textId="5E62B6CA" w:rsidR="00515BBD" w:rsidRDefault="00D57B5D" w:rsidP="00515BBD">
      <w:pPr>
        <w:pStyle w:val="ListParagraph"/>
        <w:numPr>
          <w:ilvl w:val="2"/>
          <w:numId w:val="1"/>
        </w:numPr>
        <w:jc w:val="both"/>
        <w:rPr>
          <w:sz w:val="22"/>
          <w:szCs w:val="22"/>
          <w14:ligatures w14:val="none"/>
        </w:rPr>
      </w:pPr>
      <w:r w:rsidRPr="00317EB3">
        <w:rPr>
          <w:rFonts w:eastAsia="SimSun"/>
          <w:b/>
          <w:sz w:val="22"/>
          <w:szCs w:val="22"/>
          <w:lang w:eastAsia="zh-CN"/>
        </w:rPr>
        <w:t xml:space="preserve">Employee v. </w:t>
      </w:r>
      <w:r w:rsidRPr="00317EB3">
        <w:rPr>
          <w:b/>
          <w:bCs/>
          <w:sz w:val="22"/>
          <w:szCs w:val="22"/>
        </w:rPr>
        <w:t xml:space="preserve">D.C. </w:t>
      </w:r>
      <w:r w:rsidR="00A04FA5">
        <w:rPr>
          <w:b/>
          <w:bCs/>
          <w:sz w:val="22"/>
          <w:szCs w:val="22"/>
        </w:rPr>
        <w:t>Department of Motor Vehicles</w:t>
      </w:r>
      <w:r w:rsidRPr="00317EB3">
        <w:rPr>
          <w:rFonts w:eastAsia="SimSun"/>
          <w:b/>
          <w:sz w:val="22"/>
          <w:szCs w:val="22"/>
          <w:lang w:eastAsia="zh-CN"/>
        </w:rPr>
        <w:t xml:space="preserve">, OEA Matter No. </w:t>
      </w:r>
      <w:r w:rsidRPr="00317EB3">
        <w:rPr>
          <w:b/>
          <w:bCs/>
          <w:sz w:val="22"/>
          <w:szCs w:val="22"/>
        </w:rPr>
        <w:t>1601-0</w:t>
      </w:r>
      <w:r w:rsidR="00A04FA5">
        <w:rPr>
          <w:b/>
          <w:bCs/>
          <w:sz w:val="22"/>
          <w:szCs w:val="22"/>
        </w:rPr>
        <w:t>046-24</w:t>
      </w:r>
      <w:r w:rsidR="00B42E0D" w:rsidRPr="00317EB3">
        <w:rPr>
          <w:b/>
          <w:bCs/>
          <w:sz w:val="22"/>
          <w:szCs w:val="22"/>
        </w:rPr>
        <w:t>—</w:t>
      </w:r>
      <w:r w:rsidR="00B42E0D" w:rsidRPr="00B42E0D">
        <w:rPr>
          <w:sz w:val="22"/>
          <w:szCs w:val="22"/>
          <w14:ligatures w14:val="none"/>
        </w:rPr>
        <w:t xml:space="preserve">Employee worked </w:t>
      </w:r>
      <w:r w:rsidR="00515BBD" w:rsidRPr="00515BBD">
        <w:rPr>
          <w:sz w:val="22"/>
          <w:szCs w:val="22"/>
          <w14:ligatures w14:val="none"/>
        </w:rPr>
        <w:t>Employee worked as a Legal Instrument Examiner for the District of Columbia Department of Motor Vehicles (“Agency”).  On April 26, 2024, Agency issued a final notice of separation informing Employee that she would be removed from her position because she was involved in a verbal and physical altercation with another employee while on duty, in violation of 6-B District of Columbia Municipal Regulations (“DCMR”) § 1605.4(a). As a result, Agency terminated Employee.</w:t>
      </w:r>
    </w:p>
    <w:p w14:paraId="451D4F08" w14:textId="77777777" w:rsidR="00515BBD" w:rsidRPr="004546E9" w:rsidRDefault="00515BBD" w:rsidP="00515BBD">
      <w:pPr>
        <w:pStyle w:val="ListParagraph"/>
        <w:ind w:left="1620"/>
        <w:jc w:val="both"/>
        <w:rPr>
          <w:sz w:val="12"/>
          <w:szCs w:val="12"/>
          <w14:ligatures w14:val="none"/>
        </w:rPr>
      </w:pPr>
    </w:p>
    <w:p w14:paraId="25C86A6D" w14:textId="07E2B37F" w:rsidR="00515BBD" w:rsidRDefault="00515BBD" w:rsidP="00515BBD">
      <w:pPr>
        <w:pStyle w:val="ListParagraph"/>
        <w:ind w:left="1620"/>
        <w:jc w:val="both"/>
        <w:rPr>
          <w:sz w:val="22"/>
          <w:szCs w:val="22"/>
          <w14:ligatures w14:val="none"/>
        </w:rPr>
      </w:pPr>
      <w:r w:rsidRPr="00515BBD">
        <w:rPr>
          <w:sz w:val="22"/>
          <w:szCs w:val="22"/>
          <w14:ligatures w14:val="none"/>
        </w:rPr>
        <w:t xml:space="preserve">Employee filed a Petition for Appeal with the Office of Employee Appeals (“OEA”) on May 6, 2024.  She contended that Agency’s adverse action was unwarranted and based on false statements. According to Employee, she did not physically assault anyone. Additionally, she argued that Agency failed to conduct a proper investigation of her </w:t>
      </w:r>
      <w:r w:rsidRPr="00515BBD">
        <w:rPr>
          <w:sz w:val="22"/>
          <w:szCs w:val="22"/>
          <w14:ligatures w14:val="none"/>
        </w:rPr>
        <w:lastRenderedPageBreak/>
        <w:t>complaints of harassment by the other employees.  Employee reasoned that Agency’s action was discriminatory because the other employees involved in the incident were not terminated for their actions as she was.  As a result, she requested that Agency’s termination action be reversed.</w:t>
      </w:r>
    </w:p>
    <w:p w14:paraId="5586B200" w14:textId="77777777" w:rsidR="00515BBD" w:rsidRPr="004546E9" w:rsidRDefault="00515BBD" w:rsidP="00515BBD">
      <w:pPr>
        <w:pStyle w:val="ListParagraph"/>
        <w:ind w:left="1620"/>
        <w:jc w:val="both"/>
        <w:rPr>
          <w:sz w:val="12"/>
          <w:szCs w:val="12"/>
          <w14:ligatures w14:val="none"/>
        </w:rPr>
      </w:pPr>
    </w:p>
    <w:p w14:paraId="12D77B4F" w14:textId="2FA6AAC9" w:rsidR="00515BBD" w:rsidRDefault="00515BBD" w:rsidP="00515BBD">
      <w:pPr>
        <w:pStyle w:val="ListParagraph"/>
        <w:ind w:left="1620"/>
        <w:jc w:val="both"/>
        <w:rPr>
          <w:sz w:val="22"/>
          <w:szCs w:val="22"/>
          <w14:ligatures w14:val="none"/>
        </w:rPr>
      </w:pPr>
      <w:r w:rsidRPr="00515BBD">
        <w:rPr>
          <w:sz w:val="22"/>
          <w:szCs w:val="22"/>
          <w14:ligatures w14:val="none"/>
        </w:rPr>
        <w:t>On June 5, 2024, Agency filed its Answer to the Petition for Appeal.  According to Agency, Employee engaged in a verbal and physical altercation while on duty by using derogatory language; swinging her arms trying to strike another employee; and yelling threats to an employee. Agency argued that Employee violated its Employee Handbook regarding profanity in the workplace, workplace violence, and 6-B DCMR § 1605.4(a).  Consequently, it asserted that in accordance with 6-B DCMR § 1607.2(a)(15) Table of Illustrative Actions (“TIA”), the penalty for a first offense of assaulting, fighting, threatening, attempting to inflict bodily harm while on District property or while on duty ranged from a fourteen-day suspension to removal</w:t>
      </w:r>
      <w:r>
        <w:rPr>
          <w:sz w:val="22"/>
          <w:szCs w:val="22"/>
          <w14:ligatures w14:val="none"/>
        </w:rPr>
        <w:t>.  A</w:t>
      </w:r>
      <w:r w:rsidRPr="00515BBD">
        <w:rPr>
          <w:sz w:val="22"/>
          <w:szCs w:val="22"/>
          <w14:ligatures w14:val="none"/>
        </w:rPr>
        <w:t xml:space="preserve">gency also explained that it properly considered the </w:t>
      </w:r>
      <w:r w:rsidRPr="00515BBD">
        <w:rPr>
          <w:i/>
          <w:iCs/>
          <w:sz w:val="22"/>
          <w:szCs w:val="22"/>
          <w14:ligatures w14:val="none"/>
        </w:rPr>
        <w:t>Douglas</w:t>
      </w:r>
      <w:r w:rsidRPr="00515BBD">
        <w:rPr>
          <w:sz w:val="22"/>
          <w:szCs w:val="22"/>
          <w14:ligatures w14:val="none"/>
        </w:rPr>
        <w:t xml:space="preserve"> factors before reaching its decision to terminate Employee.  Therefore, it requested that Employee’s removal be upheld.</w:t>
      </w:r>
    </w:p>
    <w:p w14:paraId="65027CD6" w14:textId="77777777" w:rsidR="00515BBD" w:rsidRPr="004546E9" w:rsidRDefault="00515BBD" w:rsidP="00515BBD">
      <w:pPr>
        <w:pStyle w:val="ListParagraph"/>
        <w:ind w:left="1620"/>
        <w:jc w:val="both"/>
        <w:rPr>
          <w:sz w:val="12"/>
          <w:szCs w:val="12"/>
          <w14:ligatures w14:val="none"/>
        </w:rPr>
      </w:pPr>
    </w:p>
    <w:p w14:paraId="5A961442" w14:textId="0A8DCD86" w:rsidR="00515BBD" w:rsidRPr="00515BBD" w:rsidRDefault="00515BBD" w:rsidP="00515BBD">
      <w:pPr>
        <w:pStyle w:val="ListParagraph"/>
        <w:ind w:left="1620"/>
        <w:jc w:val="both"/>
        <w:rPr>
          <w:sz w:val="22"/>
          <w:szCs w:val="22"/>
          <w14:ligatures w14:val="none"/>
        </w:rPr>
      </w:pPr>
      <w:r w:rsidRPr="004546E9">
        <w:rPr>
          <w:sz w:val="22"/>
          <w:szCs w:val="22"/>
        </w:rPr>
        <w:t>After conducting a two-day evidentiary hearing, the OEA Administrative Judge (“AJ”) issued an Initial Decision on November 12, 2025.  She found that Agency failed to specifically enumerate which of the four subsections in 6-B DCMR § 1605.4(a) it used as Employee’s conduct to support its adverse action.  The AJ also determined that Agency failed to show that Employee physically assaulted Walton in the restroom through testimonial and documentary evidence.  However, she did find that Employee engaged in a verbal altercation and used profanity</w:t>
      </w:r>
      <w:r>
        <w:t>.</w:t>
      </w:r>
    </w:p>
    <w:p w14:paraId="2B27FFAD" w14:textId="77777777" w:rsidR="00191DFD" w:rsidRPr="004546E9" w:rsidRDefault="00191DFD" w:rsidP="00515BBD">
      <w:pPr>
        <w:pStyle w:val="ListParagraph"/>
        <w:ind w:left="1620"/>
        <w:jc w:val="both"/>
        <w:rPr>
          <w:sz w:val="12"/>
          <w:szCs w:val="12"/>
        </w:rPr>
      </w:pPr>
    </w:p>
    <w:p w14:paraId="73DFE0A9" w14:textId="17657AE2" w:rsidR="0018330A" w:rsidRPr="004546E9" w:rsidRDefault="00191DFD" w:rsidP="00515BBD">
      <w:pPr>
        <w:pStyle w:val="ListParagraph"/>
        <w:ind w:left="1620"/>
        <w:jc w:val="both"/>
        <w:rPr>
          <w:sz w:val="22"/>
          <w:szCs w:val="22"/>
        </w:rPr>
      </w:pPr>
      <w:r w:rsidRPr="004546E9">
        <w:rPr>
          <w:sz w:val="22"/>
          <w:szCs w:val="22"/>
        </w:rPr>
        <w:t>As for the penalty, the AJ determined that Agency could not discipline Employee under 6-B DCMR §1607.2(a)(15) because there was no physical assault. She opined that Agency could have relied on 6-B DCMR §1607.2(a)(16) to discipline Employee; however, Agency did not include a charge under 6-B DCMR §1607.2(a)(16) in its removal notice. Consequently, she reversed Agency’s adverse action and ordered that Employee be reinstated with backpay and benefits.</w:t>
      </w:r>
    </w:p>
    <w:p w14:paraId="78322591" w14:textId="77777777" w:rsidR="00191DFD" w:rsidRPr="004546E9" w:rsidRDefault="00191DFD" w:rsidP="00515BBD">
      <w:pPr>
        <w:pStyle w:val="ListParagraph"/>
        <w:ind w:left="1620"/>
        <w:jc w:val="both"/>
        <w:rPr>
          <w:sz w:val="12"/>
          <w:szCs w:val="12"/>
        </w:rPr>
      </w:pPr>
    </w:p>
    <w:p w14:paraId="3A9121E6" w14:textId="4E63880C" w:rsidR="00191DFD" w:rsidRPr="004546E9" w:rsidRDefault="00191DFD" w:rsidP="00515BBD">
      <w:pPr>
        <w:pStyle w:val="ListParagraph"/>
        <w:ind w:left="1620"/>
        <w:jc w:val="both"/>
        <w:rPr>
          <w:sz w:val="22"/>
          <w:szCs w:val="22"/>
        </w:rPr>
      </w:pPr>
      <w:r w:rsidRPr="004546E9">
        <w:rPr>
          <w:sz w:val="22"/>
          <w:szCs w:val="22"/>
        </w:rPr>
        <w:t>Agency filed a Petition for Review with the OEA Board on December 17, 2025.  It argues that the Initial Decision is not supported by substantial evidence.  Specifically, Agency contends that the AJ erred in finding that it failed to provide proper notice of the charges to Employee and failed to meet its burden of proof to demonstrate that Employee engaged in conduct prejudicial to the District government under 6-B DCMR §§ 1605.4(a) and 1607.2</w:t>
      </w:r>
      <w:r w:rsidR="004546E9">
        <w:rPr>
          <w:sz w:val="22"/>
          <w:szCs w:val="22"/>
        </w:rPr>
        <w:t xml:space="preserve">.  </w:t>
      </w:r>
      <w:r w:rsidRPr="004546E9">
        <w:rPr>
          <w:sz w:val="22"/>
          <w:szCs w:val="22"/>
        </w:rPr>
        <w:t>It also asserts that its Notice of Proposed Removal complied with all requirements of 6-B DCMR § 1618 because it informed Employee of the type of action (adverse); the nature of the action (termination); the specific conduct at issue; and how the conduct failed to meet Agency standards (Agency’s zero-tolerance policy).  Agency also reasoned that it met its burden to prove that Employee engaged in physical violence at work through Walton and Marshall’s testimony and written statements of the assault.  Additionally, it argues that there was testimony that Employee threatened Walton with bodily harm which is also included in 6-B DCMR §1607.2(a)(15).  Accordingly, Agency requests that its Petition for Review be granted and that the Initial Decision be reversed.</w:t>
      </w:r>
    </w:p>
    <w:p w14:paraId="425826B6" w14:textId="77777777" w:rsidR="00A04FA5" w:rsidRPr="00317EB3" w:rsidRDefault="00A04FA5" w:rsidP="00A04FA5">
      <w:pPr>
        <w:pStyle w:val="ListParagraph"/>
        <w:ind w:left="1620"/>
        <w:jc w:val="both"/>
        <w:rPr>
          <w:sz w:val="12"/>
          <w:szCs w:val="12"/>
        </w:rPr>
      </w:pPr>
    </w:p>
    <w:p w14:paraId="4E46711D" w14:textId="495BD2C6" w:rsidR="00F0162B" w:rsidRPr="00455BCF" w:rsidRDefault="00D57B5D" w:rsidP="00A04FA5">
      <w:pPr>
        <w:pStyle w:val="ListParagraph"/>
        <w:numPr>
          <w:ilvl w:val="2"/>
          <w:numId w:val="1"/>
        </w:numPr>
        <w:jc w:val="both"/>
        <w:rPr>
          <w:sz w:val="22"/>
          <w:szCs w:val="22"/>
        </w:rPr>
      </w:pPr>
      <w:r w:rsidRPr="00455BCF">
        <w:rPr>
          <w:rFonts w:eastAsia="SimSun"/>
          <w:b/>
          <w:sz w:val="22"/>
          <w:szCs w:val="22"/>
          <w:lang w:eastAsia="zh-CN"/>
        </w:rPr>
        <w:t xml:space="preserve">Employee v. </w:t>
      </w:r>
      <w:r w:rsidRPr="00455BCF">
        <w:rPr>
          <w:b/>
          <w:sz w:val="22"/>
          <w:szCs w:val="22"/>
        </w:rPr>
        <w:t xml:space="preserve">D.C. </w:t>
      </w:r>
      <w:r w:rsidR="00A04FA5" w:rsidRPr="00455BCF">
        <w:rPr>
          <w:b/>
          <w:sz w:val="22"/>
          <w:szCs w:val="22"/>
        </w:rPr>
        <w:t>Department of General Services</w:t>
      </w:r>
      <w:r w:rsidRPr="00455BCF">
        <w:rPr>
          <w:b/>
          <w:sz w:val="22"/>
          <w:szCs w:val="22"/>
        </w:rPr>
        <w:t xml:space="preserve"> OEA Matter No. </w:t>
      </w:r>
      <w:r w:rsidR="00A04FA5" w:rsidRPr="00455BCF">
        <w:rPr>
          <w:b/>
          <w:sz w:val="22"/>
          <w:szCs w:val="22"/>
        </w:rPr>
        <w:t>J-0009-26</w:t>
      </w:r>
      <w:r w:rsidR="00F0162B" w:rsidRPr="00455BCF">
        <w:rPr>
          <w:sz w:val="22"/>
          <w:szCs w:val="22"/>
        </w:rPr>
        <w:t xml:space="preserve">—Employee worked </w:t>
      </w:r>
      <w:r w:rsidR="00455BCF" w:rsidRPr="00455BCF">
        <w:rPr>
          <w:sz w:val="22"/>
          <w:szCs w:val="22"/>
        </w:rPr>
        <w:t xml:space="preserve">as a Program Analyst with the D.C. Department of General Services (“Agency”).  On October 23, 2025, Agency issued a notice of termination to Employee.  The notice </w:t>
      </w:r>
      <w:proofErr w:type="gramStart"/>
      <w:r w:rsidR="00455BCF" w:rsidRPr="00455BCF">
        <w:rPr>
          <w:sz w:val="22"/>
          <w:szCs w:val="22"/>
        </w:rPr>
        <w:t>provided that</w:t>
      </w:r>
      <w:proofErr w:type="gramEnd"/>
      <w:r w:rsidR="00455BCF" w:rsidRPr="00455BCF">
        <w:rPr>
          <w:sz w:val="22"/>
          <w:szCs w:val="22"/>
        </w:rPr>
        <w:t xml:space="preserve"> Employee would be terminated during her probationary period pursuant to District Personnel Manual (“DPM”) § 227.  On November 6, 2025, Employee filed a Petition for Appeal with the Office of Employee Appeals (“OEA”).  She argued </w:t>
      </w:r>
      <w:r w:rsidR="00455BCF" w:rsidRPr="00455BCF">
        <w:rPr>
          <w:sz w:val="22"/>
          <w:szCs w:val="22"/>
        </w:rPr>
        <w:lastRenderedPageBreak/>
        <w:t>that she was wrongfully terminated because Agency misclassified her as a probationary employee when she completed her Career Service probationary period prior to her assuming the Program Analyst role.  As a result, she requested that she be reinstated and receive backpay and benefits.</w:t>
      </w:r>
    </w:p>
    <w:p w14:paraId="14A1E39E" w14:textId="77777777" w:rsidR="00455BCF" w:rsidRPr="00455BCF" w:rsidRDefault="00455BCF" w:rsidP="00455BCF">
      <w:pPr>
        <w:pStyle w:val="ListParagraph"/>
        <w:ind w:left="1620"/>
        <w:jc w:val="both"/>
        <w:rPr>
          <w:sz w:val="12"/>
          <w:szCs w:val="12"/>
        </w:rPr>
      </w:pPr>
    </w:p>
    <w:p w14:paraId="4A3857B6" w14:textId="21A5E2BE" w:rsidR="00455BCF" w:rsidRPr="00455BCF" w:rsidRDefault="00455BCF" w:rsidP="00455BCF">
      <w:pPr>
        <w:pStyle w:val="ListParagraph"/>
        <w:ind w:left="1620"/>
        <w:jc w:val="both"/>
        <w:rPr>
          <w:sz w:val="22"/>
          <w:szCs w:val="22"/>
        </w:rPr>
      </w:pPr>
      <w:r w:rsidRPr="00455BCF">
        <w:rPr>
          <w:sz w:val="22"/>
          <w:szCs w:val="22"/>
        </w:rPr>
        <w:t>On December 5, 2025, Agency filed a Motion to Dismiss.  It contended that Employee’s previous Career Service probationary period did not waive the requirement for her to serve another probationary period.  According to Agency, Employee was converted from an Excepted Service Program Analyst position in the Executive Office of the Mayor to a Career-Probation Program Analyst role with Agency.  It explained that Employee’s last Career Service position was as a Dispatcher with the D.C. Office of Unified Communications (“OUC”).  Agency contended that Employee was subject to a second probationary period because she was competitively hired and because the requirements and skills for a Dispatcher and Program Analyst are substantially different. It asserted that because Employee was still within her probationary period at the time of termination, she could not appeal to OEA.  Agency claimed that OEA lacked jurisdiction over probationary employees and requested that Employee’s petition be dismissed.</w:t>
      </w:r>
    </w:p>
    <w:p w14:paraId="30CFCB91" w14:textId="77777777" w:rsidR="00455BCF" w:rsidRPr="00455BCF" w:rsidRDefault="00455BCF" w:rsidP="00455BCF">
      <w:pPr>
        <w:pStyle w:val="ListParagraph"/>
        <w:ind w:left="1620"/>
        <w:jc w:val="both"/>
        <w:rPr>
          <w:sz w:val="12"/>
          <w:szCs w:val="12"/>
        </w:rPr>
      </w:pPr>
    </w:p>
    <w:p w14:paraId="19249400" w14:textId="2B4E833E" w:rsidR="00455BCF" w:rsidRPr="00455BCF" w:rsidRDefault="00455BCF" w:rsidP="00455BCF">
      <w:pPr>
        <w:pStyle w:val="ListParagraph"/>
        <w:ind w:left="1620"/>
        <w:jc w:val="both"/>
        <w:rPr>
          <w:sz w:val="22"/>
          <w:szCs w:val="22"/>
        </w:rPr>
      </w:pPr>
      <w:r w:rsidRPr="00455BCF">
        <w:rPr>
          <w:sz w:val="22"/>
          <w:szCs w:val="22"/>
        </w:rPr>
        <w:t xml:space="preserve">On December 8, 2025, Employee filed an Opposition to Agency’s Motion to Dismiss.  She argued that she had been a Career Service employee since 2015, without a break in service.  Employee asserted that her transition to an Excepted Service role did not sever her Career Service tenure.  Additionally, she contended that she was not competitively hired, but she was instead placed via an inter-agency move.  Thus, according to Employee, she was not appointed </w:t>
      </w:r>
      <w:proofErr w:type="gramStart"/>
      <w:r w:rsidRPr="00455BCF">
        <w:rPr>
          <w:sz w:val="22"/>
          <w:szCs w:val="22"/>
        </w:rPr>
        <w:t>as a result of</w:t>
      </w:r>
      <w:proofErr w:type="gramEnd"/>
      <w:r w:rsidRPr="00455BCF">
        <w:rPr>
          <w:sz w:val="22"/>
          <w:szCs w:val="22"/>
        </w:rPr>
        <w:t xml:space="preserve"> open competition.  Consequently, she requested that Agency’s Motion to Dismiss be denied.</w:t>
      </w:r>
    </w:p>
    <w:p w14:paraId="725AA2DB" w14:textId="77777777" w:rsidR="00455BCF" w:rsidRPr="00455BCF" w:rsidRDefault="00455BCF" w:rsidP="00455BCF">
      <w:pPr>
        <w:pStyle w:val="ListParagraph"/>
        <w:ind w:left="1620"/>
        <w:jc w:val="both"/>
        <w:rPr>
          <w:sz w:val="12"/>
          <w:szCs w:val="12"/>
        </w:rPr>
      </w:pPr>
    </w:p>
    <w:p w14:paraId="48746EB9" w14:textId="1A2696A2" w:rsidR="00455BCF" w:rsidRPr="00455BCF" w:rsidRDefault="00455BCF" w:rsidP="00455BCF">
      <w:pPr>
        <w:pStyle w:val="ListParagraph"/>
        <w:ind w:left="1620"/>
        <w:jc w:val="both"/>
        <w:rPr>
          <w:sz w:val="22"/>
          <w:szCs w:val="22"/>
        </w:rPr>
      </w:pPr>
      <w:r w:rsidRPr="00455BCF">
        <w:rPr>
          <w:sz w:val="22"/>
          <w:szCs w:val="22"/>
        </w:rPr>
        <w:t>The OEA Administrative Judge (“AJ”) issued an Order Requesting Briefs on Jurisdiction.  In her brief, Employee argued that Agency failed to provide sufficient evidence of a reliable personnel record to support that she was in a probationary status or that she was hired through open competition. She contended that Agency’s reliance on reviewing resumes and informal phone calls did not constitute open competition and could not be used to impose a new probationary period.  Therefore, she requested that the Motion to Dismiss be denied and that OEA issue a decision on the merits of her case.</w:t>
      </w:r>
    </w:p>
    <w:p w14:paraId="2307412D" w14:textId="77777777" w:rsidR="00455BCF" w:rsidRPr="00455BCF" w:rsidRDefault="00455BCF" w:rsidP="00455BCF">
      <w:pPr>
        <w:pStyle w:val="ListParagraph"/>
        <w:ind w:left="1620"/>
        <w:jc w:val="both"/>
        <w:rPr>
          <w:sz w:val="12"/>
          <w:szCs w:val="12"/>
        </w:rPr>
      </w:pPr>
    </w:p>
    <w:p w14:paraId="57DDEDFB" w14:textId="31BF6326" w:rsidR="00455BCF" w:rsidRPr="00455BCF" w:rsidRDefault="00455BCF" w:rsidP="00455BCF">
      <w:pPr>
        <w:pStyle w:val="ListParagraph"/>
        <w:ind w:left="1620"/>
        <w:jc w:val="both"/>
        <w:rPr>
          <w:sz w:val="22"/>
          <w:szCs w:val="22"/>
        </w:rPr>
      </w:pPr>
      <w:r w:rsidRPr="00455BCF">
        <w:rPr>
          <w:sz w:val="22"/>
          <w:szCs w:val="22"/>
        </w:rPr>
        <w:t>Agency filed its Response to Employee’s Brief on Jurisdiction on January 12, 2026.  It maintained its argument that Employee was converted from an Excepted Service appointment to a Career Service position and was, therefore, serving in a probationary period at the time of her removal. Agency also argued that competitive hiring in the District government does not require interviews and that a top candidate could be selected internally or externally without assembling an interview panel.  Agency asserted that Employee’s Standard Form 50 (“SF-50”) clearly indicated that she was subject to a one-year probationary period.  Accordingly, it contended that OEA lacked jurisdiction to consider her removal and requested that Employee’s appeal be dismissed.</w:t>
      </w:r>
    </w:p>
    <w:p w14:paraId="4CC2B007" w14:textId="77777777" w:rsidR="00455BCF" w:rsidRPr="00455BCF" w:rsidRDefault="00455BCF" w:rsidP="00455BCF">
      <w:pPr>
        <w:pStyle w:val="ListParagraph"/>
        <w:ind w:left="1620"/>
        <w:jc w:val="both"/>
        <w:rPr>
          <w:sz w:val="12"/>
          <w:szCs w:val="12"/>
        </w:rPr>
      </w:pPr>
    </w:p>
    <w:p w14:paraId="688C94DF" w14:textId="46871503" w:rsidR="00455BCF" w:rsidRPr="00455BCF" w:rsidRDefault="00455BCF" w:rsidP="00455BCF">
      <w:pPr>
        <w:pStyle w:val="ListParagraph"/>
        <w:ind w:left="1620"/>
        <w:jc w:val="both"/>
        <w:rPr>
          <w:sz w:val="22"/>
          <w:szCs w:val="22"/>
        </w:rPr>
      </w:pPr>
      <w:r w:rsidRPr="00455BCF">
        <w:rPr>
          <w:sz w:val="22"/>
          <w:szCs w:val="22"/>
        </w:rPr>
        <w:t xml:space="preserve">On February 27, 2026, the AJ issued an Initial Decision.  He held that pursuant to DPM §§ 226.2(a) and 227.4, an employee’s termination during a probationary period is not appealable to OEA.  The AJ found that Agency sought candidates for positions at its Winter Job Fair and received Employee’s resume along with eleven others for the Program Analyst role.  According to the AJ, Agency’s Associate Director’s review of the resumes and discussions with Employee established that Employee was competitively hired and placed into her Career Service position as a Program Analyst with Agency.  Moreover, the AJ found that Employee’s SF-50 indicated that she was to serve another probationary period as a Program Analyst at Agency.  He further held that </w:t>
      </w:r>
      <w:r w:rsidRPr="00455BCF">
        <w:rPr>
          <w:sz w:val="22"/>
          <w:szCs w:val="22"/>
        </w:rPr>
        <w:lastRenderedPageBreak/>
        <w:t>Employee’s Program Analyst position was in a different line of work from her prior job. As a result, the AJ determined that Employee was required to serve a new probationary period.  Consequently, he dismissed Employee’s Petition for Appeal for lack of jurisdiction.</w:t>
      </w:r>
    </w:p>
    <w:p w14:paraId="4912FE91" w14:textId="77777777" w:rsidR="00455BCF" w:rsidRPr="00455BCF" w:rsidRDefault="00455BCF" w:rsidP="00455BCF">
      <w:pPr>
        <w:pStyle w:val="ListParagraph"/>
        <w:ind w:left="1620"/>
        <w:jc w:val="both"/>
        <w:rPr>
          <w:sz w:val="12"/>
          <w:szCs w:val="12"/>
        </w:rPr>
      </w:pPr>
    </w:p>
    <w:p w14:paraId="5BB1AFBA" w14:textId="66B47D4A" w:rsidR="00A04FA5" w:rsidRPr="00455BCF" w:rsidRDefault="00455BCF" w:rsidP="00A04FA5">
      <w:pPr>
        <w:pStyle w:val="ListParagraph"/>
        <w:ind w:left="1620"/>
        <w:jc w:val="both"/>
        <w:rPr>
          <w:sz w:val="22"/>
          <w:szCs w:val="22"/>
        </w:rPr>
      </w:pPr>
      <w:r w:rsidRPr="00455BCF">
        <w:rPr>
          <w:sz w:val="22"/>
          <w:szCs w:val="22"/>
        </w:rPr>
        <w:t>Employee disagreed with the Initial Decision and filed a Petition for Review with the OEA Board on March 2, 2026. She contends that the AJ’s findings are not supported by substantial evidence.  Employee asserts that the Initial Decision offered a general reference to positions of different skills and in a different line of work, and it did not address different educational, licensure, certification, or qualifications.  Additionally, she maintains that she was not required to serve a second probationary period because she was not hired through open competition and that Agency failed to provide evidence to substantiate its claim of open competition.  As a result, Employee requests that the Board grant her Petition for Review, reverse the Initial Decision, and find that OEA has jurisdiction to consider her case on its merits.</w:t>
      </w:r>
    </w:p>
    <w:p w14:paraId="58ECFB02" w14:textId="77777777" w:rsidR="00455BCF" w:rsidRPr="00455BCF" w:rsidRDefault="00455BCF" w:rsidP="00A04FA5">
      <w:pPr>
        <w:pStyle w:val="ListParagraph"/>
        <w:ind w:left="1620"/>
        <w:jc w:val="both"/>
        <w:rPr>
          <w:sz w:val="12"/>
          <w:szCs w:val="12"/>
        </w:rPr>
      </w:pPr>
    </w:p>
    <w:p w14:paraId="6F43601F" w14:textId="06CB7476" w:rsidR="00455BCF" w:rsidRPr="00455BCF" w:rsidRDefault="00455BCF" w:rsidP="00A04FA5">
      <w:pPr>
        <w:pStyle w:val="ListParagraph"/>
        <w:ind w:left="1620"/>
        <w:jc w:val="both"/>
        <w:rPr>
          <w:sz w:val="22"/>
          <w:szCs w:val="22"/>
        </w:rPr>
      </w:pPr>
      <w:r w:rsidRPr="00455BCF">
        <w:rPr>
          <w:sz w:val="22"/>
          <w:szCs w:val="22"/>
        </w:rPr>
        <w:t>Agency filed its Response to Employee’s Petition for Review on April 16, 2026.  It asserts that the Initial Decision is based on substantial evidence. Agency opines that the four positions held by Employee were all in different series and had different duties and skills. It provides that Employee was also subject to a new probationary period because she was hired for a different Program Analyst position in a new agency.  Agency maintains that Employee was required to serve a new probationary period because she was hired through open competition. It reasons that Employee’s resume was considered for an open vacancy along with a plethora of other candidates; the hiring manager spoke to candidates; and the hiring manager subsequently ranked the candidates.  Consequently, Agency claims that OEA lacks jurisdiction to consider the appeal and requests that Employee’s Petition for Review be dismissed.</w:t>
      </w:r>
    </w:p>
    <w:p w14:paraId="00F8018B" w14:textId="77777777" w:rsidR="00455BCF" w:rsidRPr="000A793D" w:rsidRDefault="00455BCF" w:rsidP="00A04FA5">
      <w:pPr>
        <w:pStyle w:val="ListParagraph"/>
        <w:ind w:left="1620"/>
        <w:jc w:val="both"/>
        <w:rPr>
          <w:sz w:val="12"/>
          <w:szCs w:val="12"/>
        </w:rPr>
      </w:pPr>
    </w:p>
    <w:p w14:paraId="160FA439" w14:textId="664AB057" w:rsidR="00D57B5D" w:rsidRPr="00A466B8" w:rsidRDefault="002617FA" w:rsidP="00E85CA9">
      <w:pPr>
        <w:pStyle w:val="ListParagraph"/>
        <w:numPr>
          <w:ilvl w:val="2"/>
          <w:numId w:val="1"/>
        </w:numPr>
        <w:jc w:val="both"/>
        <w:rPr>
          <w:sz w:val="22"/>
          <w:szCs w:val="22"/>
        </w:rPr>
      </w:pPr>
      <w:r w:rsidRPr="00A466B8">
        <w:rPr>
          <w:rFonts w:eastAsia="SimSun"/>
          <w:b/>
          <w:sz w:val="22"/>
          <w:szCs w:val="22"/>
          <w:lang w:eastAsia="zh-CN"/>
        </w:rPr>
        <w:t>Employee v.</w:t>
      </w:r>
      <w:r w:rsidRPr="00A466B8">
        <w:rPr>
          <w:b/>
          <w:sz w:val="22"/>
          <w:szCs w:val="22"/>
        </w:rPr>
        <w:t xml:space="preserve"> </w:t>
      </w:r>
      <w:r w:rsidR="00E85CA9" w:rsidRPr="00A466B8">
        <w:rPr>
          <w:b/>
          <w:sz w:val="22"/>
          <w:szCs w:val="22"/>
        </w:rPr>
        <w:t>Department of Public Works</w:t>
      </w:r>
      <w:r w:rsidR="00C86389" w:rsidRPr="00A466B8">
        <w:rPr>
          <w:b/>
          <w:sz w:val="22"/>
          <w:szCs w:val="22"/>
        </w:rPr>
        <w:t>, OEA Matter No.</w:t>
      </w:r>
      <w:r w:rsidR="0023793A" w:rsidRPr="00A466B8">
        <w:rPr>
          <w:b/>
          <w:sz w:val="22"/>
          <w:szCs w:val="22"/>
        </w:rPr>
        <w:t xml:space="preserve"> </w:t>
      </w:r>
      <w:r w:rsidR="00E85CA9" w:rsidRPr="00A466B8">
        <w:rPr>
          <w:b/>
          <w:sz w:val="22"/>
          <w:szCs w:val="22"/>
        </w:rPr>
        <w:t>J-0076-25</w:t>
      </w:r>
      <w:r w:rsidR="0023793A" w:rsidRPr="00A466B8">
        <w:rPr>
          <w:sz w:val="22"/>
          <w:szCs w:val="22"/>
        </w:rPr>
        <w:t>—</w:t>
      </w:r>
      <w:r w:rsidR="00BE732C" w:rsidRPr="00A466B8">
        <w:rPr>
          <w:sz w:val="22"/>
          <w:szCs w:val="22"/>
        </w:rPr>
        <w:t xml:space="preserve">Employee </w:t>
      </w:r>
      <w:r w:rsidR="00E85CA9" w:rsidRPr="00A466B8">
        <w:rPr>
          <w:sz w:val="22"/>
          <w:szCs w:val="22"/>
        </w:rPr>
        <w:t>worked as a Sanitation Supervisor with the Solid Waste Management Division of the Department of Public Works (“Agency”). On July 10, 2025, Agency served Employee with an Advance Written Notice of Proposed Five-Day Suspension charging her with Conduct Prejudicial to the District Government. The charge stemmed from a February 27, 2025, incident wherein Employee was accused of engaging in unprofessional conduct with a representative from the Office of Risk Management. Agency issued its Notice of Final Decision on September 2, 2025. Employee was suspended effective September 3, 2025, through September 9, 2025.</w:t>
      </w:r>
    </w:p>
    <w:p w14:paraId="4BF0A0A7" w14:textId="77777777" w:rsidR="00E85CA9" w:rsidRPr="00A466B8" w:rsidRDefault="00E85CA9" w:rsidP="00E85CA9">
      <w:pPr>
        <w:pStyle w:val="ListParagraph"/>
        <w:ind w:left="1620"/>
        <w:jc w:val="both"/>
        <w:rPr>
          <w:rFonts w:eastAsia="SimSun"/>
          <w:b/>
          <w:sz w:val="12"/>
          <w:szCs w:val="12"/>
          <w:lang w:eastAsia="zh-CN"/>
        </w:rPr>
      </w:pPr>
    </w:p>
    <w:p w14:paraId="3BBA9DB6" w14:textId="4A55F035" w:rsidR="00E85CA9" w:rsidRPr="00A466B8" w:rsidRDefault="000476E9" w:rsidP="00E85CA9">
      <w:pPr>
        <w:pStyle w:val="ListParagraph"/>
        <w:ind w:left="1620"/>
        <w:jc w:val="both"/>
        <w:rPr>
          <w:sz w:val="22"/>
          <w:szCs w:val="22"/>
        </w:rPr>
      </w:pPr>
      <w:r w:rsidRPr="00A466B8">
        <w:rPr>
          <w:sz w:val="22"/>
          <w:szCs w:val="22"/>
        </w:rPr>
        <w:t xml:space="preserve">Employee filed a Petition for Appeal with the Office of Employee Appeals (“OEA”) on September 2, 2025. She argued that the allegations of misconduct were false; Agency never </w:t>
      </w:r>
      <w:proofErr w:type="gramStart"/>
      <w:r w:rsidRPr="00A466B8">
        <w:rPr>
          <w:sz w:val="22"/>
          <w:szCs w:val="22"/>
        </w:rPr>
        <w:t>conducted an investigation</w:t>
      </w:r>
      <w:proofErr w:type="gramEnd"/>
      <w:r w:rsidRPr="00A466B8">
        <w:rPr>
          <w:sz w:val="22"/>
          <w:szCs w:val="22"/>
        </w:rPr>
        <w:t xml:space="preserve"> or interviewed her concerning the February 27, 2025, incident; and Agency’s proposed notice was untimely. As a result, Employee asked that OEA reverse the five-day suspension and reimburse her for lost pay.</w:t>
      </w:r>
    </w:p>
    <w:p w14:paraId="21D44881" w14:textId="77777777" w:rsidR="000476E9" w:rsidRPr="00A466B8" w:rsidRDefault="000476E9" w:rsidP="00E85CA9">
      <w:pPr>
        <w:pStyle w:val="ListParagraph"/>
        <w:ind w:left="1620"/>
        <w:jc w:val="both"/>
        <w:rPr>
          <w:sz w:val="12"/>
          <w:szCs w:val="12"/>
        </w:rPr>
      </w:pPr>
    </w:p>
    <w:p w14:paraId="7D081C41" w14:textId="239926AB" w:rsidR="000476E9" w:rsidRPr="00A466B8" w:rsidRDefault="000476E9" w:rsidP="00E85CA9">
      <w:pPr>
        <w:pStyle w:val="ListParagraph"/>
        <w:ind w:left="1620"/>
        <w:jc w:val="both"/>
        <w:rPr>
          <w:sz w:val="22"/>
          <w:szCs w:val="22"/>
        </w:rPr>
      </w:pPr>
      <w:r w:rsidRPr="00A466B8">
        <w:rPr>
          <w:sz w:val="22"/>
          <w:szCs w:val="22"/>
        </w:rPr>
        <w:t xml:space="preserve">Agency filed a response to Employee’s appeal on October 3, 2025. It contended that OEA lacked jurisdiction over this appeal pursuant to D.C. Code § 1-606.03(a) because Employee’s suspension was less than ten days. Alternatively, Agency asserted that if OEA exercised jurisdiction over Employee’s suspension, the proposed noticed complied with Chapter 6-B, Section 1602.3(a) of the D.C. Municipal Regulations (“DCMR”). Additionally, it maintained that all relevant </w:t>
      </w:r>
      <w:r w:rsidRPr="00A466B8">
        <w:rPr>
          <w:i/>
          <w:iCs/>
          <w:sz w:val="22"/>
          <w:szCs w:val="22"/>
        </w:rPr>
        <w:t>Douglas</w:t>
      </w:r>
      <w:r w:rsidRPr="00A466B8">
        <w:rPr>
          <w:sz w:val="22"/>
          <w:szCs w:val="22"/>
        </w:rPr>
        <w:t xml:space="preserve"> factors were considered when selecting the imposed penalty. Therefore, Agency opined that the suspension action complied with all applicable laws, rules, and regulations. </w:t>
      </w:r>
    </w:p>
    <w:p w14:paraId="7230422B" w14:textId="77777777" w:rsidR="000476E9" w:rsidRPr="00A466B8" w:rsidRDefault="000476E9" w:rsidP="00E85CA9">
      <w:pPr>
        <w:pStyle w:val="ListParagraph"/>
        <w:ind w:left="1620"/>
        <w:jc w:val="both"/>
        <w:rPr>
          <w:sz w:val="12"/>
          <w:szCs w:val="12"/>
        </w:rPr>
      </w:pPr>
    </w:p>
    <w:p w14:paraId="4ACC9FE0" w14:textId="5B344C60" w:rsidR="000476E9" w:rsidRPr="00A466B8" w:rsidRDefault="000476E9" w:rsidP="000476E9">
      <w:pPr>
        <w:pStyle w:val="ListParagraph"/>
        <w:ind w:left="1620"/>
        <w:jc w:val="both"/>
        <w:rPr>
          <w:sz w:val="22"/>
          <w:szCs w:val="22"/>
        </w:rPr>
      </w:pPr>
      <w:r w:rsidRPr="00A466B8">
        <w:rPr>
          <w:sz w:val="22"/>
          <w:szCs w:val="22"/>
        </w:rPr>
        <w:lastRenderedPageBreak/>
        <w:t xml:space="preserve">On October 6, 2025, the OEA Administrative Judge (“AJ”) issued an order directing Employee to submit a brief addressing the issue of jurisdiction on or before October 16, 2026. The order informed Employee that her failure to provide a response by the prescribed deadline may result in the imposition of sanctions under OEA Rule 624.3. The AJ subsequently issued a second order on October 15, 2025, requesting that Employee submit a jurisdictional brief on or before October 27, 2025. On November 6, 2025, Employee requested and was granted a two-week extension to file a response while she sought legal representation. When she failed to submit a response by the requested deadline, the AJ issued an Order for Statement of Good Cause on January 23, 2026. The order </w:t>
      </w:r>
      <w:proofErr w:type="gramStart"/>
      <w:r w:rsidRPr="00A466B8">
        <w:rPr>
          <w:sz w:val="22"/>
          <w:szCs w:val="22"/>
        </w:rPr>
        <w:t>provided that</w:t>
      </w:r>
      <w:proofErr w:type="gramEnd"/>
      <w:r w:rsidRPr="00A466B8">
        <w:rPr>
          <w:sz w:val="22"/>
          <w:szCs w:val="22"/>
        </w:rPr>
        <w:t xml:space="preserve"> Employee’s failure to submit a timely response could result in the imposition of sanctions under OEA Rule 624.3. Employee did not submit a response to the AJ’s directive.</w:t>
      </w:r>
    </w:p>
    <w:p w14:paraId="07BFCFF9" w14:textId="77777777" w:rsidR="000476E9" w:rsidRPr="00A466B8" w:rsidRDefault="000476E9" w:rsidP="00E85CA9">
      <w:pPr>
        <w:pStyle w:val="ListParagraph"/>
        <w:ind w:left="1620"/>
        <w:jc w:val="both"/>
        <w:rPr>
          <w:sz w:val="12"/>
          <w:szCs w:val="12"/>
        </w:rPr>
      </w:pPr>
    </w:p>
    <w:p w14:paraId="4DBEB418" w14:textId="280FE3D2" w:rsidR="000476E9" w:rsidRPr="00A466B8" w:rsidRDefault="000476E9" w:rsidP="00E85CA9">
      <w:pPr>
        <w:pStyle w:val="ListParagraph"/>
        <w:ind w:left="1620"/>
        <w:jc w:val="both"/>
        <w:rPr>
          <w:sz w:val="22"/>
          <w:szCs w:val="22"/>
        </w:rPr>
      </w:pPr>
      <w:r w:rsidRPr="00A466B8">
        <w:rPr>
          <w:sz w:val="22"/>
          <w:szCs w:val="22"/>
        </w:rPr>
        <w:t>The AJ issued an Initial Decision on February 9, 2026. He held that OEA did not have jurisdiction to adjudicate Employee’s appeal because it was well-settled that this Office lacks jurisdiction over suspensions of less than ten days. Since there was no dispute that Employee only served a five-day suspension, the AJ concluded that the matter was required to be dismissed. As an alternate basis for dismissing the appeal, the AJ ruled that Employee’s failure to submit a response to the January 23, 2026, Order for Statement of Good Cause violated OEA Rule 624.3. He reasoned that Employee was informed that her failure to submit a brief on jurisdiction in a timely manner could result in the imposition of sanctions, including dismissal. Thus, he concluded that Employee failed to exercise the diligence expected of an appellant pursuing an appeal before this Office. Consequently, her appeal was also dismissed for failure to prosecute.</w:t>
      </w:r>
    </w:p>
    <w:p w14:paraId="7A3E41EF" w14:textId="77777777" w:rsidR="000476E9" w:rsidRPr="00A466B8" w:rsidRDefault="000476E9" w:rsidP="00E85CA9">
      <w:pPr>
        <w:pStyle w:val="ListParagraph"/>
        <w:ind w:left="1620"/>
        <w:jc w:val="both"/>
        <w:rPr>
          <w:sz w:val="12"/>
          <w:szCs w:val="12"/>
        </w:rPr>
      </w:pPr>
    </w:p>
    <w:p w14:paraId="0D93BD5E" w14:textId="0F2C48C3" w:rsidR="000476E9" w:rsidRPr="00A466B8" w:rsidRDefault="000476E9" w:rsidP="00E85CA9">
      <w:pPr>
        <w:pStyle w:val="ListParagraph"/>
        <w:ind w:left="1620"/>
        <w:jc w:val="both"/>
        <w:rPr>
          <w:sz w:val="22"/>
          <w:szCs w:val="22"/>
        </w:rPr>
      </w:pPr>
      <w:r w:rsidRPr="00A466B8">
        <w:rPr>
          <w:sz w:val="22"/>
          <w:szCs w:val="22"/>
        </w:rPr>
        <w:t>Employee disagreed with the Initial Decision and filed a Petition for Review with the OEA Board on March 3, 2026. She argues that she missed the deadline for submitting a response to the cause order due to circumstances beyond her control. Employee asserts that she was scammed by an attorney who inaccurately represented that he would submit a brief on her behalf. As a result, she asks that the five-day suspension be reversed or that the Board remand the matter to the AJ for adjudication.</w:t>
      </w:r>
    </w:p>
    <w:p w14:paraId="64053EE6" w14:textId="77777777" w:rsidR="000476E9" w:rsidRPr="00A466B8" w:rsidRDefault="000476E9" w:rsidP="00E85CA9">
      <w:pPr>
        <w:pStyle w:val="ListParagraph"/>
        <w:ind w:left="1620"/>
        <w:jc w:val="both"/>
        <w:rPr>
          <w:sz w:val="12"/>
          <w:szCs w:val="12"/>
        </w:rPr>
      </w:pPr>
    </w:p>
    <w:p w14:paraId="7FB73223" w14:textId="3B2D04B9" w:rsidR="000476E9" w:rsidRPr="00A466B8" w:rsidRDefault="000476E9" w:rsidP="00E85CA9">
      <w:pPr>
        <w:pStyle w:val="ListParagraph"/>
        <w:ind w:left="1620"/>
        <w:jc w:val="both"/>
        <w:rPr>
          <w:sz w:val="22"/>
          <w:szCs w:val="22"/>
        </w:rPr>
      </w:pPr>
      <w:r w:rsidRPr="00A466B8">
        <w:rPr>
          <w:sz w:val="22"/>
          <w:szCs w:val="22"/>
        </w:rPr>
        <w:t>In response, Agency opines that the AJ properly dismissed Employee’s appeal for lack of jurisdiction because pursuant to 6-B DCMR § 604.1(d), employees serving a suspension of less than ten days have no right to appeal the adverse action to OEA. Additionally, it maintains that the AJ correctly dismissed the matter because Employee failed to prosecute her appeal. Therefore, it requests that the Board deny her petition</w:t>
      </w:r>
      <w:r w:rsidR="00472E69" w:rsidRPr="00A466B8">
        <w:rPr>
          <w:sz w:val="22"/>
          <w:szCs w:val="22"/>
        </w:rPr>
        <w:t>.</w:t>
      </w:r>
    </w:p>
    <w:p w14:paraId="2FD04CAC" w14:textId="77777777" w:rsidR="000476E9" w:rsidRPr="000D72D5" w:rsidRDefault="000476E9" w:rsidP="00E85CA9">
      <w:pPr>
        <w:pStyle w:val="ListParagraph"/>
        <w:ind w:left="1620"/>
        <w:jc w:val="both"/>
        <w:rPr>
          <w:sz w:val="12"/>
          <w:szCs w:val="12"/>
        </w:rPr>
      </w:pPr>
    </w:p>
    <w:p w14:paraId="4CE1853C" w14:textId="1A907CB5" w:rsidR="00DD43BD" w:rsidRDefault="00DD43BD" w:rsidP="00D57B5D">
      <w:pPr>
        <w:widowControl/>
        <w:numPr>
          <w:ilvl w:val="1"/>
          <w:numId w:val="1"/>
        </w:numPr>
        <w:tabs>
          <w:tab w:val="clear" w:pos="1440"/>
        </w:tabs>
        <w:ind w:left="-90" w:firstLine="360"/>
        <w:contextualSpacing/>
        <w:jc w:val="both"/>
        <w:rPr>
          <w:rFonts w:eastAsia="SimSun"/>
          <w:b/>
          <w:sz w:val="22"/>
          <w:szCs w:val="22"/>
          <w:lang w:eastAsia="zh-CN"/>
        </w:rPr>
      </w:pPr>
      <w:r w:rsidRPr="00B71DF0">
        <w:rPr>
          <w:rFonts w:eastAsia="SimSun"/>
          <w:b/>
          <w:sz w:val="22"/>
          <w:szCs w:val="22"/>
          <w:lang w:eastAsia="zh-CN"/>
        </w:rPr>
        <w:t>Public Comments on Petitions for Review</w:t>
      </w:r>
    </w:p>
    <w:p w14:paraId="7538EFFE" w14:textId="77777777" w:rsidR="00DD43BD" w:rsidRDefault="00DD43BD" w:rsidP="00DD43BD">
      <w:pPr>
        <w:widowControl/>
        <w:ind w:left="270"/>
        <w:contextualSpacing/>
        <w:jc w:val="both"/>
        <w:rPr>
          <w:rFonts w:eastAsia="SimSun"/>
          <w:b/>
          <w:sz w:val="22"/>
          <w:szCs w:val="22"/>
          <w:lang w:eastAsia="zh-CN"/>
        </w:rPr>
      </w:pPr>
    </w:p>
    <w:p w14:paraId="711BCDC2" w14:textId="3EB1FA71" w:rsidR="00D57B5D" w:rsidRPr="00F61428" w:rsidRDefault="00D57B5D" w:rsidP="00D57B5D">
      <w:pPr>
        <w:widowControl/>
        <w:numPr>
          <w:ilvl w:val="1"/>
          <w:numId w:val="1"/>
        </w:numPr>
        <w:tabs>
          <w:tab w:val="clear" w:pos="1440"/>
        </w:tabs>
        <w:ind w:left="-90" w:firstLine="360"/>
        <w:contextualSpacing/>
        <w:jc w:val="both"/>
        <w:rPr>
          <w:rFonts w:eastAsia="SimSun"/>
          <w:b/>
          <w:sz w:val="22"/>
          <w:szCs w:val="22"/>
          <w:lang w:eastAsia="zh-CN"/>
        </w:rPr>
      </w:pPr>
      <w:r w:rsidRPr="00F61428">
        <w:rPr>
          <w:rFonts w:eastAsia="SimSun"/>
          <w:b/>
          <w:sz w:val="22"/>
          <w:szCs w:val="22"/>
          <w:lang w:eastAsia="zh-CN"/>
        </w:rPr>
        <w:t xml:space="preserve">Deliberations </w:t>
      </w:r>
      <w:r w:rsidRPr="00F61428">
        <w:rPr>
          <w:rFonts w:eastAsia="SimSun"/>
          <w:sz w:val="22"/>
          <w:szCs w:val="22"/>
          <w:lang w:eastAsia="zh-CN"/>
        </w:rPr>
        <w:t xml:space="preserve">– This portion of the meeting will be closed to the public for deliberations </w:t>
      </w:r>
    </w:p>
    <w:p w14:paraId="52B18E60" w14:textId="77777777" w:rsidR="00D57B5D" w:rsidRDefault="00D57B5D" w:rsidP="00D57B5D">
      <w:pPr>
        <w:ind w:left="270" w:firstLine="450"/>
        <w:contextualSpacing/>
        <w:jc w:val="both"/>
        <w:rPr>
          <w:rFonts w:eastAsia="SimSun"/>
          <w:b/>
          <w:sz w:val="22"/>
          <w:szCs w:val="22"/>
          <w:lang w:eastAsia="zh-CN"/>
        </w:rPr>
      </w:pPr>
      <w:r w:rsidRPr="00F61428">
        <w:rPr>
          <w:rFonts w:eastAsia="SimSun"/>
          <w:sz w:val="22"/>
          <w:szCs w:val="22"/>
          <w:lang w:eastAsia="zh-CN"/>
        </w:rPr>
        <w:t xml:space="preserve">in accordance with D.C. Code § 2-575(b)(13).  </w:t>
      </w:r>
    </w:p>
    <w:p w14:paraId="00AFDF4E" w14:textId="77777777" w:rsidR="00D57B5D" w:rsidRPr="003945A9" w:rsidRDefault="00D57B5D" w:rsidP="00D57B5D">
      <w:pPr>
        <w:ind w:left="270" w:firstLine="450"/>
        <w:contextualSpacing/>
        <w:jc w:val="both"/>
        <w:rPr>
          <w:rFonts w:eastAsia="SimSun"/>
          <w:b/>
          <w:sz w:val="12"/>
          <w:szCs w:val="12"/>
          <w:lang w:eastAsia="zh-CN"/>
        </w:rPr>
      </w:pPr>
      <w:r w:rsidRPr="00F61428">
        <w:rPr>
          <w:rFonts w:eastAsia="SimSun"/>
          <w:sz w:val="22"/>
          <w:szCs w:val="22"/>
          <w:lang w:eastAsia="zh-CN"/>
        </w:rPr>
        <w:t xml:space="preserve">         </w:t>
      </w:r>
    </w:p>
    <w:p w14:paraId="7616726C" w14:textId="77777777" w:rsidR="00D57B5D" w:rsidRPr="00F61428" w:rsidRDefault="00D57B5D" w:rsidP="00D57B5D">
      <w:pPr>
        <w:widowControl/>
        <w:numPr>
          <w:ilvl w:val="1"/>
          <w:numId w:val="1"/>
        </w:numPr>
        <w:tabs>
          <w:tab w:val="clear" w:pos="1440"/>
          <w:tab w:val="num" w:pos="720"/>
        </w:tabs>
        <w:ind w:left="1170" w:hanging="900"/>
        <w:contextualSpacing/>
        <w:jc w:val="both"/>
        <w:rPr>
          <w:rFonts w:eastAsia="SimSun"/>
          <w:b/>
          <w:sz w:val="22"/>
          <w:szCs w:val="22"/>
          <w:lang w:eastAsia="zh-CN"/>
        </w:rPr>
      </w:pPr>
      <w:r w:rsidRPr="00F61428">
        <w:rPr>
          <w:rFonts w:eastAsia="SimSun"/>
          <w:b/>
          <w:sz w:val="22"/>
          <w:szCs w:val="22"/>
          <w:lang w:eastAsia="zh-CN"/>
        </w:rPr>
        <w:t>Open Portion Resumes</w:t>
      </w:r>
    </w:p>
    <w:p w14:paraId="56309730" w14:textId="77777777" w:rsidR="00D57B5D" w:rsidRPr="00F61428" w:rsidRDefault="00D57B5D" w:rsidP="00D57B5D">
      <w:pPr>
        <w:tabs>
          <w:tab w:val="num" w:pos="1080"/>
        </w:tabs>
        <w:ind w:left="1440" w:hanging="450"/>
        <w:contextualSpacing/>
        <w:jc w:val="both"/>
        <w:rPr>
          <w:rFonts w:eastAsia="SimSun"/>
          <w:b/>
          <w:sz w:val="12"/>
          <w:szCs w:val="12"/>
          <w:lang w:eastAsia="zh-CN"/>
        </w:rPr>
      </w:pPr>
    </w:p>
    <w:p w14:paraId="2124FEDB" w14:textId="77777777" w:rsidR="00D57B5D" w:rsidRPr="00F61428" w:rsidRDefault="00D57B5D" w:rsidP="00D57B5D">
      <w:pPr>
        <w:widowControl/>
        <w:numPr>
          <w:ilvl w:val="1"/>
          <w:numId w:val="1"/>
        </w:numPr>
        <w:tabs>
          <w:tab w:val="clear" w:pos="1440"/>
          <w:tab w:val="num" w:pos="990"/>
        </w:tabs>
        <w:ind w:left="720" w:hanging="450"/>
        <w:contextualSpacing/>
        <w:jc w:val="both"/>
        <w:rPr>
          <w:rFonts w:eastAsia="SimSun"/>
          <w:b/>
          <w:sz w:val="22"/>
          <w:szCs w:val="22"/>
          <w:lang w:eastAsia="zh-CN"/>
        </w:rPr>
      </w:pPr>
      <w:r w:rsidRPr="00F61428">
        <w:rPr>
          <w:rFonts w:eastAsia="SimSun"/>
          <w:b/>
          <w:sz w:val="22"/>
          <w:szCs w:val="22"/>
          <w:lang w:eastAsia="zh-CN"/>
        </w:rPr>
        <w:t>Final Votes on Cases</w:t>
      </w:r>
    </w:p>
    <w:p w14:paraId="2351D90C" w14:textId="77777777" w:rsidR="00D57B5D" w:rsidRPr="00F61428" w:rsidRDefault="00D57B5D" w:rsidP="00D57B5D">
      <w:pPr>
        <w:ind w:left="720" w:hanging="450"/>
        <w:contextualSpacing/>
        <w:rPr>
          <w:rFonts w:eastAsia="SimSun"/>
          <w:b/>
          <w:sz w:val="12"/>
          <w:szCs w:val="12"/>
          <w:lang w:eastAsia="zh-CN"/>
        </w:rPr>
      </w:pPr>
    </w:p>
    <w:p w14:paraId="160071C3" w14:textId="77777777" w:rsidR="00D57B5D" w:rsidRPr="00F61428" w:rsidRDefault="00D57B5D" w:rsidP="00D57B5D">
      <w:pPr>
        <w:widowControl/>
        <w:numPr>
          <w:ilvl w:val="1"/>
          <w:numId w:val="1"/>
        </w:numPr>
        <w:tabs>
          <w:tab w:val="clear" w:pos="1440"/>
          <w:tab w:val="left" w:pos="720"/>
          <w:tab w:val="num" w:pos="990"/>
        </w:tabs>
        <w:ind w:hanging="1170"/>
        <w:contextualSpacing/>
        <w:jc w:val="both"/>
        <w:rPr>
          <w:rFonts w:eastAsia="SimSun"/>
          <w:b/>
          <w:sz w:val="22"/>
          <w:szCs w:val="22"/>
          <w:lang w:eastAsia="zh-CN"/>
        </w:rPr>
      </w:pPr>
      <w:r w:rsidRPr="00F61428">
        <w:rPr>
          <w:rFonts w:eastAsia="SimSun"/>
          <w:b/>
          <w:sz w:val="22"/>
          <w:szCs w:val="22"/>
          <w:lang w:eastAsia="zh-CN"/>
        </w:rPr>
        <w:t>Public Comments</w:t>
      </w:r>
    </w:p>
    <w:p w14:paraId="2A18F57F" w14:textId="77777777" w:rsidR="00D57B5D" w:rsidRPr="00F61428" w:rsidRDefault="00D57B5D" w:rsidP="00D57B5D">
      <w:pPr>
        <w:tabs>
          <w:tab w:val="left" w:pos="720"/>
        </w:tabs>
        <w:contextualSpacing/>
        <w:jc w:val="both"/>
        <w:rPr>
          <w:rFonts w:eastAsia="SimSun"/>
          <w:b/>
          <w:sz w:val="12"/>
          <w:szCs w:val="12"/>
          <w:lang w:eastAsia="zh-CN"/>
        </w:rPr>
      </w:pPr>
    </w:p>
    <w:p w14:paraId="1A8ED0B2" w14:textId="77777777" w:rsidR="00D57B5D" w:rsidRPr="003945A9" w:rsidRDefault="00D57B5D" w:rsidP="00D57B5D">
      <w:pPr>
        <w:widowControl/>
        <w:numPr>
          <w:ilvl w:val="0"/>
          <w:numId w:val="1"/>
        </w:numPr>
        <w:tabs>
          <w:tab w:val="left" w:pos="720"/>
        </w:tabs>
        <w:ind w:left="540" w:hanging="540"/>
        <w:contextualSpacing/>
        <w:jc w:val="both"/>
        <w:rPr>
          <w:rFonts w:eastAsia="SimSun"/>
          <w:b/>
          <w:sz w:val="22"/>
          <w:szCs w:val="22"/>
          <w:lang w:eastAsia="zh-CN"/>
        </w:rPr>
      </w:pPr>
      <w:r w:rsidRPr="00F61428">
        <w:rPr>
          <w:rFonts w:eastAsia="SimSun"/>
          <w:b/>
          <w:sz w:val="22"/>
          <w:szCs w:val="22"/>
          <w:lang w:eastAsia="zh-CN"/>
        </w:rPr>
        <w:t xml:space="preserve">Adjournment </w:t>
      </w:r>
    </w:p>
    <w:p w14:paraId="73E9020B" w14:textId="77777777" w:rsidR="00D57B5D" w:rsidRDefault="00D57B5D" w:rsidP="00D57B5D">
      <w:pPr>
        <w:tabs>
          <w:tab w:val="left" w:pos="720"/>
        </w:tabs>
        <w:contextualSpacing/>
        <w:jc w:val="both"/>
        <w:rPr>
          <w:rFonts w:eastAsia="SimSun"/>
          <w:bCs/>
          <w:sz w:val="22"/>
          <w:szCs w:val="22"/>
          <w:lang w:eastAsia="zh-CN"/>
        </w:rPr>
      </w:pPr>
    </w:p>
    <w:p w14:paraId="4D0067D7" w14:textId="77777777" w:rsidR="00D57B5D" w:rsidRPr="003945A9" w:rsidRDefault="00D57B5D" w:rsidP="00D57B5D">
      <w:pPr>
        <w:tabs>
          <w:tab w:val="left" w:pos="720"/>
        </w:tabs>
        <w:contextualSpacing/>
        <w:jc w:val="both"/>
        <w:rPr>
          <w:rFonts w:eastAsia="SimSun"/>
          <w:b/>
          <w:sz w:val="22"/>
          <w:szCs w:val="22"/>
          <w:lang w:eastAsia="zh-CN"/>
        </w:rPr>
      </w:pPr>
      <w:r w:rsidRPr="00F61428">
        <w:rPr>
          <w:rFonts w:eastAsia="SimSun"/>
          <w:bCs/>
          <w:sz w:val="22"/>
          <w:szCs w:val="22"/>
          <w:lang w:eastAsia="zh-CN"/>
        </w:rPr>
        <w:t xml:space="preserve">“This meeting is governed by the Open Meetings Act.  Please address any questions or complaints arising under this meeting to the Office of Open Government at </w:t>
      </w:r>
      <w:hyperlink r:id="rId10" w:history="1">
        <w:r w:rsidRPr="00F61428">
          <w:rPr>
            <w:rStyle w:val="Hyperlink"/>
            <w:rFonts w:eastAsia="SimSun"/>
            <w:bCs/>
            <w:sz w:val="22"/>
            <w:szCs w:val="22"/>
            <w:lang w:eastAsia="zh-CN"/>
          </w:rPr>
          <w:t>opengovoffice@dc.gov</w:t>
        </w:r>
      </w:hyperlink>
      <w:r w:rsidRPr="00F61428">
        <w:rPr>
          <w:rFonts w:eastAsia="SimSun"/>
          <w:bCs/>
          <w:sz w:val="22"/>
          <w:szCs w:val="22"/>
          <w:lang w:eastAsia="zh-CN"/>
        </w:rPr>
        <w:t>.”</w:t>
      </w:r>
    </w:p>
    <w:p w14:paraId="041930E0" w14:textId="77777777" w:rsidR="00D57B5D" w:rsidRDefault="00D57B5D" w:rsidP="00D57B5D"/>
    <w:sectPr w:rsidR="00D57B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33C7" w14:textId="77777777" w:rsidR="006979EB" w:rsidRDefault="006979EB" w:rsidP="000476E9">
      <w:r>
        <w:separator/>
      </w:r>
    </w:p>
  </w:endnote>
  <w:endnote w:type="continuationSeparator" w:id="0">
    <w:p w14:paraId="7315C922" w14:textId="77777777" w:rsidR="006979EB" w:rsidRDefault="006979EB" w:rsidP="0004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D3E7" w14:textId="77777777" w:rsidR="006979EB" w:rsidRDefault="006979EB" w:rsidP="000476E9">
      <w:r>
        <w:separator/>
      </w:r>
    </w:p>
  </w:footnote>
  <w:footnote w:type="continuationSeparator" w:id="0">
    <w:p w14:paraId="59E132F2" w14:textId="77777777" w:rsidR="006979EB" w:rsidRDefault="006979EB" w:rsidP="00047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3F1C"/>
    <w:multiLevelType w:val="hybridMultilevel"/>
    <w:tmpl w:val="7DD86578"/>
    <w:lvl w:ilvl="0" w:tplc="600E7EF2">
      <w:start w:val="1"/>
      <w:numFmt w:val="upperRoman"/>
      <w:lvlText w:val="%1."/>
      <w:lvlJc w:val="left"/>
      <w:pPr>
        <w:tabs>
          <w:tab w:val="num" w:pos="1080"/>
        </w:tabs>
        <w:ind w:left="1080" w:hanging="720"/>
      </w:pPr>
      <w:rPr>
        <w:b/>
      </w:rPr>
    </w:lvl>
    <w:lvl w:ilvl="1" w:tplc="AE1E5B42">
      <w:start w:val="1"/>
      <w:numFmt w:val="upperLetter"/>
      <w:lvlText w:val="%2."/>
      <w:lvlJc w:val="left"/>
      <w:pPr>
        <w:tabs>
          <w:tab w:val="num" w:pos="1440"/>
        </w:tabs>
        <w:ind w:left="1440" w:hanging="360"/>
      </w:pPr>
      <w:rPr>
        <w:b/>
      </w:rPr>
    </w:lvl>
    <w:lvl w:ilvl="2" w:tplc="1496FC8C">
      <w:start w:val="1"/>
      <w:numFmt w:val="decimal"/>
      <w:lvlText w:val="%3."/>
      <w:lvlJc w:val="left"/>
      <w:pPr>
        <w:tabs>
          <w:tab w:val="num" w:pos="1620"/>
        </w:tabs>
        <w:ind w:left="1620" w:hanging="360"/>
      </w:pPr>
      <w:rPr>
        <w:b/>
        <w:bCs w:val="0"/>
        <w:color w:val="auto"/>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70292DF1"/>
    <w:multiLevelType w:val="hybridMultilevel"/>
    <w:tmpl w:val="0F1603CC"/>
    <w:lvl w:ilvl="0" w:tplc="E90AD8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49965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885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5D"/>
    <w:rsid w:val="000476E9"/>
    <w:rsid w:val="000A793D"/>
    <w:rsid w:val="0013465F"/>
    <w:rsid w:val="0018330A"/>
    <w:rsid w:val="00185B8C"/>
    <w:rsid w:val="00191DFD"/>
    <w:rsid w:val="001E1170"/>
    <w:rsid w:val="002102F6"/>
    <w:rsid w:val="00222761"/>
    <w:rsid w:val="0023793A"/>
    <w:rsid w:val="002617FA"/>
    <w:rsid w:val="00317EB3"/>
    <w:rsid w:val="003330C3"/>
    <w:rsid w:val="00346397"/>
    <w:rsid w:val="004546E9"/>
    <w:rsid w:val="00455BCF"/>
    <w:rsid w:val="00472E69"/>
    <w:rsid w:val="00491FE9"/>
    <w:rsid w:val="00515BBD"/>
    <w:rsid w:val="005334FF"/>
    <w:rsid w:val="00607F42"/>
    <w:rsid w:val="00683596"/>
    <w:rsid w:val="006979EB"/>
    <w:rsid w:val="006E3D15"/>
    <w:rsid w:val="00773C7D"/>
    <w:rsid w:val="00787C58"/>
    <w:rsid w:val="007A2411"/>
    <w:rsid w:val="008125F8"/>
    <w:rsid w:val="008E7EA7"/>
    <w:rsid w:val="0098332A"/>
    <w:rsid w:val="009F7F91"/>
    <w:rsid w:val="00A04FA5"/>
    <w:rsid w:val="00A466B8"/>
    <w:rsid w:val="00A57079"/>
    <w:rsid w:val="00A61A0C"/>
    <w:rsid w:val="00B373CA"/>
    <w:rsid w:val="00B42E0D"/>
    <w:rsid w:val="00B500D0"/>
    <w:rsid w:val="00B50A90"/>
    <w:rsid w:val="00BE732C"/>
    <w:rsid w:val="00C37D82"/>
    <w:rsid w:val="00C86389"/>
    <w:rsid w:val="00CB16D4"/>
    <w:rsid w:val="00D57B5D"/>
    <w:rsid w:val="00D6373D"/>
    <w:rsid w:val="00D75183"/>
    <w:rsid w:val="00D87F65"/>
    <w:rsid w:val="00D957FE"/>
    <w:rsid w:val="00DD43BD"/>
    <w:rsid w:val="00DE727E"/>
    <w:rsid w:val="00E85CA9"/>
    <w:rsid w:val="00F0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10E7"/>
  <w15:chartTrackingRefBased/>
  <w15:docId w15:val="{19691713-C289-442D-80E9-F4C7D0ED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B5D"/>
    <w:pPr>
      <w:widowControl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D57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B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5D"/>
    <w:rPr>
      <w:rFonts w:eastAsiaTheme="majorEastAsia" w:cstheme="majorBidi"/>
      <w:color w:val="272727" w:themeColor="text1" w:themeTint="D8"/>
    </w:rPr>
  </w:style>
  <w:style w:type="paragraph" w:styleId="Title">
    <w:name w:val="Title"/>
    <w:basedOn w:val="Normal"/>
    <w:next w:val="Normal"/>
    <w:link w:val="TitleChar"/>
    <w:uiPriority w:val="10"/>
    <w:qFormat/>
    <w:rsid w:val="00D57B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5D"/>
    <w:pPr>
      <w:spacing w:before="160"/>
      <w:jc w:val="center"/>
    </w:pPr>
    <w:rPr>
      <w:i/>
      <w:iCs/>
      <w:color w:val="404040" w:themeColor="text1" w:themeTint="BF"/>
    </w:rPr>
  </w:style>
  <w:style w:type="character" w:customStyle="1" w:styleId="QuoteChar">
    <w:name w:val="Quote Char"/>
    <w:basedOn w:val="DefaultParagraphFont"/>
    <w:link w:val="Quote"/>
    <w:uiPriority w:val="29"/>
    <w:rsid w:val="00D57B5D"/>
    <w:rPr>
      <w:i/>
      <w:iCs/>
      <w:color w:val="404040" w:themeColor="text1" w:themeTint="BF"/>
    </w:rPr>
  </w:style>
  <w:style w:type="paragraph" w:styleId="ListParagraph">
    <w:name w:val="List Paragraph"/>
    <w:basedOn w:val="Normal"/>
    <w:uiPriority w:val="34"/>
    <w:qFormat/>
    <w:rsid w:val="00D57B5D"/>
    <w:pPr>
      <w:ind w:left="720"/>
      <w:contextualSpacing/>
    </w:pPr>
  </w:style>
  <w:style w:type="character" w:styleId="IntenseEmphasis">
    <w:name w:val="Intense Emphasis"/>
    <w:basedOn w:val="DefaultParagraphFont"/>
    <w:uiPriority w:val="21"/>
    <w:qFormat/>
    <w:rsid w:val="00D57B5D"/>
    <w:rPr>
      <w:i/>
      <w:iCs/>
      <w:color w:val="0F4761" w:themeColor="accent1" w:themeShade="BF"/>
    </w:rPr>
  </w:style>
  <w:style w:type="paragraph" w:styleId="IntenseQuote">
    <w:name w:val="Intense Quote"/>
    <w:basedOn w:val="Normal"/>
    <w:next w:val="Normal"/>
    <w:link w:val="IntenseQuoteChar"/>
    <w:uiPriority w:val="30"/>
    <w:qFormat/>
    <w:rsid w:val="00D57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B5D"/>
    <w:rPr>
      <w:i/>
      <w:iCs/>
      <w:color w:val="0F4761" w:themeColor="accent1" w:themeShade="BF"/>
    </w:rPr>
  </w:style>
  <w:style w:type="character" w:styleId="IntenseReference">
    <w:name w:val="Intense Reference"/>
    <w:basedOn w:val="DefaultParagraphFont"/>
    <w:uiPriority w:val="32"/>
    <w:qFormat/>
    <w:rsid w:val="00D57B5D"/>
    <w:rPr>
      <w:b/>
      <w:bCs/>
      <w:smallCaps/>
      <w:color w:val="0F4761" w:themeColor="accent1" w:themeShade="BF"/>
      <w:spacing w:val="5"/>
    </w:rPr>
  </w:style>
  <w:style w:type="character" w:styleId="Hyperlink">
    <w:name w:val="Hyperlink"/>
    <w:basedOn w:val="DefaultParagraphFont"/>
    <w:uiPriority w:val="99"/>
    <w:unhideWhenUsed/>
    <w:rsid w:val="00D57B5D"/>
    <w:rPr>
      <w:color w:val="467886" w:themeColor="hyperlink"/>
      <w:u w:val="single"/>
    </w:rPr>
  </w:style>
  <w:style w:type="paragraph" w:styleId="NoSpacing">
    <w:name w:val="No Spacing"/>
    <w:uiPriority w:val="1"/>
    <w:qFormat/>
    <w:rsid w:val="00B42E0D"/>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D6373D"/>
    <w:rPr>
      <w:color w:val="605E5C"/>
      <w:shd w:val="clear" w:color="auto" w:fill="E1DFDD"/>
    </w:rPr>
  </w:style>
  <w:style w:type="paragraph" w:styleId="FootnoteText">
    <w:name w:val="footnote text"/>
    <w:basedOn w:val="Normal"/>
    <w:link w:val="FootnoteTextChar"/>
    <w:uiPriority w:val="99"/>
    <w:unhideWhenUsed/>
    <w:rsid w:val="000476E9"/>
    <w:pPr>
      <w:widowControl/>
    </w:pPr>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rsid w:val="000476E9"/>
    <w:rPr>
      <w:sz w:val="20"/>
      <w:szCs w:val="20"/>
    </w:rPr>
  </w:style>
  <w:style w:type="character" w:styleId="FootnoteReference">
    <w:name w:val="footnote reference"/>
    <w:basedOn w:val="DefaultParagraphFont"/>
    <w:uiPriority w:val="99"/>
    <w:semiHidden/>
    <w:unhideWhenUsed/>
    <w:rsid w:val="000476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net.webex.com/dcnet/j.php?MTID=m93709b613a741951b3948326c7189d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pengovoffice@dc.gov" TargetMode="External"/><Relationship Id="rId4" Type="http://schemas.openxmlformats.org/officeDocument/2006/relationships/settings" Target="settings.xml"/><Relationship Id="rId9" Type="http://schemas.openxmlformats.org/officeDocument/2006/relationships/hyperlink" Target="mailto:wynter.clarke@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7B1CD-5F31-49D4-A808-947D058B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Sommer J. (OEA)</dc:creator>
  <cp:keywords/>
  <dc:description/>
  <cp:lastModifiedBy>Clarke, Wynter (OEA)</cp:lastModifiedBy>
  <cp:revision>2</cp:revision>
  <dcterms:created xsi:type="dcterms:W3CDTF">2026-05-22T15:49:00Z</dcterms:created>
  <dcterms:modified xsi:type="dcterms:W3CDTF">2026-05-22T15:49:00Z</dcterms:modified>
</cp:coreProperties>
</file>