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F3DF" w14:textId="77777777" w:rsidR="00D57B5D" w:rsidRPr="00746ED9" w:rsidRDefault="00D57B5D" w:rsidP="00D57B5D">
      <w:pPr>
        <w:jc w:val="center"/>
        <w:rPr>
          <w:b/>
          <w:bCs/>
          <w:color w:val="000000" w:themeColor="text1"/>
          <w:sz w:val="22"/>
          <w:szCs w:val="22"/>
          <w:lang w:eastAsia="zh-CN"/>
        </w:rPr>
      </w:pPr>
      <w:r w:rsidRPr="00746ED9">
        <w:rPr>
          <w:b/>
          <w:bCs/>
          <w:color w:val="000000" w:themeColor="text1"/>
          <w:sz w:val="22"/>
          <w:szCs w:val="22"/>
          <w:lang w:eastAsia="zh-CN"/>
        </w:rPr>
        <w:t>DISTRICT OF COLUMBIA</w:t>
      </w:r>
    </w:p>
    <w:p w14:paraId="0CD697FE" w14:textId="77777777" w:rsidR="00D57B5D" w:rsidRPr="00746ED9" w:rsidRDefault="00D57B5D" w:rsidP="00D57B5D">
      <w:pPr>
        <w:jc w:val="center"/>
        <w:rPr>
          <w:b/>
          <w:bCs/>
          <w:color w:val="000000" w:themeColor="text1"/>
          <w:sz w:val="22"/>
          <w:szCs w:val="22"/>
          <w:lang w:eastAsia="zh-CN"/>
        </w:rPr>
      </w:pPr>
      <w:r w:rsidRPr="00746ED9">
        <w:rPr>
          <w:b/>
          <w:bCs/>
          <w:color w:val="000000" w:themeColor="text1"/>
          <w:sz w:val="22"/>
          <w:szCs w:val="22"/>
          <w:lang w:eastAsia="zh-CN"/>
        </w:rPr>
        <w:t>OFFICE OF EMPLOYEE APPEALS</w:t>
      </w:r>
    </w:p>
    <w:p w14:paraId="1F91A6FE" w14:textId="77777777" w:rsidR="00D57B5D" w:rsidRPr="00176979" w:rsidRDefault="00D57B5D" w:rsidP="00D57B5D">
      <w:pPr>
        <w:jc w:val="center"/>
        <w:rPr>
          <w:b/>
          <w:bCs/>
          <w:color w:val="000000" w:themeColor="text1"/>
          <w:sz w:val="12"/>
          <w:szCs w:val="12"/>
          <w:lang w:eastAsia="zh-CN"/>
        </w:rPr>
      </w:pPr>
    </w:p>
    <w:p w14:paraId="31C02F32" w14:textId="77777777" w:rsidR="00D57B5D" w:rsidRPr="00746ED9" w:rsidRDefault="00D57B5D" w:rsidP="00D57B5D">
      <w:pPr>
        <w:jc w:val="center"/>
        <w:rPr>
          <w:b/>
          <w:bCs/>
          <w:color w:val="000000" w:themeColor="text1"/>
          <w:sz w:val="22"/>
          <w:szCs w:val="22"/>
          <w:lang w:eastAsia="zh-CN"/>
        </w:rPr>
      </w:pPr>
      <w:r w:rsidRPr="00746ED9">
        <w:rPr>
          <w:b/>
          <w:bCs/>
          <w:color w:val="000000" w:themeColor="text1"/>
          <w:sz w:val="22"/>
          <w:szCs w:val="22"/>
          <w:lang w:eastAsia="zh-CN"/>
        </w:rPr>
        <w:t>NOTICE OF PUBLIC MEETING</w:t>
      </w:r>
    </w:p>
    <w:p w14:paraId="34DF7199" w14:textId="77777777" w:rsidR="00D57B5D" w:rsidRPr="00176979" w:rsidRDefault="00D57B5D" w:rsidP="00D57B5D">
      <w:pPr>
        <w:jc w:val="both"/>
        <w:rPr>
          <w:b/>
          <w:bCs/>
          <w:color w:val="000000" w:themeColor="text1"/>
          <w:sz w:val="12"/>
          <w:szCs w:val="12"/>
          <w:lang w:eastAsia="zh-CN"/>
        </w:rPr>
      </w:pPr>
      <w:r w:rsidRPr="00746ED9">
        <w:rPr>
          <w:b/>
          <w:bCs/>
          <w:color w:val="000000" w:themeColor="text1"/>
          <w:sz w:val="22"/>
          <w:szCs w:val="22"/>
          <w:lang w:eastAsia="zh-CN"/>
        </w:rPr>
        <w:t> </w:t>
      </w:r>
    </w:p>
    <w:p w14:paraId="461C8CF3" w14:textId="77777777" w:rsidR="00B500D0" w:rsidRPr="00B500D0" w:rsidRDefault="00B500D0" w:rsidP="00B500D0">
      <w:pPr>
        <w:contextualSpacing/>
        <w:jc w:val="both"/>
        <w:rPr>
          <w:sz w:val="22"/>
          <w:szCs w:val="22"/>
        </w:rPr>
      </w:pPr>
      <w:r w:rsidRPr="00B500D0">
        <w:rPr>
          <w:sz w:val="22"/>
          <w:szCs w:val="22"/>
        </w:rPr>
        <w:t>The District of Columbia Office of Employee Appeals will hold a meeting on April 23, 2026, at 9:30 a.m. The Board will meet remotely. Below is the agenda for the meeting.</w:t>
      </w:r>
    </w:p>
    <w:p w14:paraId="0E32B40A" w14:textId="77777777" w:rsidR="00D57B5D" w:rsidRPr="00D87F65" w:rsidRDefault="00D57B5D" w:rsidP="00D57B5D">
      <w:pPr>
        <w:contextualSpacing/>
        <w:jc w:val="both"/>
        <w:rPr>
          <w:sz w:val="12"/>
          <w:szCs w:val="12"/>
        </w:rPr>
      </w:pPr>
    </w:p>
    <w:p w14:paraId="4A31AC8A" w14:textId="77777777" w:rsidR="00D57B5D" w:rsidRPr="00D87F65" w:rsidRDefault="00D57B5D" w:rsidP="00D57B5D">
      <w:pPr>
        <w:contextualSpacing/>
        <w:jc w:val="both"/>
        <w:rPr>
          <w:sz w:val="22"/>
          <w:szCs w:val="22"/>
        </w:rPr>
      </w:pPr>
      <w:r w:rsidRPr="00D87F65">
        <w:rPr>
          <w:sz w:val="22"/>
          <w:szCs w:val="22"/>
        </w:rPr>
        <w:t xml:space="preserve">Members of the public are welcome to observe the meeting. In order to attend the meeting, please visit: </w:t>
      </w:r>
    </w:p>
    <w:p w14:paraId="6EB4F9DB" w14:textId="77777777" w:rsidR="00D57B5D" w:rsidRPr="00D87F65" w:rsidRDefault="00D57B5D" w:rsidP="00D57B5D">
      <w:pPr>
        <w:contextualSpacing/>
        <w:jc w:val="both"/>
        <w:rPr>
          <w:sz w:val="12"/>
          <w:szCs w:val="12"/>
        </w:rPr>
      </w:pPr>
    </w:p>
    <w:p w14:paraId="2FE22A97" w14:textId="77777777" w:rsidR="00D57B5D" w:rsidRPr="00D87F65" w:rsidRDefault="00D57B5D" w:rsidP="00D57B5D">
      <w:pPr>
        <w:contextualSpacing/>
        <w:jc w:val="both"/>
        <w:rPr>
          <w:sz w:val="22"/>
          <w:szCs w:val="22"/>
        </w:rPr>
      </w:pPr>
      <w:r w:rsidRPr="00D87F65">
        <w:rPr>
          <w:sz w:val="22"/>
          <w:szCs w:val="22"/>
        </w:rPr>
        <w:t>Password: Board (26274 from phones and video systems)</w:t>
      </w:r>
    </w:p>
    <w:p w14:paraId="1288A937" w14:textId="77777777" w:rsidR="00D57B5D" w:rsidRPr="00D87F65" w:rsidRDefault="00D57B5D" w:rsidP="00D57B5D">
      <w:pPr>
        <w:contextualSpacing/>
        <w:jc w:val="both"/>
        <w:rPr>
          <w:sz w:val="12"/>
          <w:szCs w:val="12"/>
        </w:rPr>
      </w:pPr>
    </w:p>
    <w:p w14:paraId="19CA9310" w14:textId="58368B3A" w:rsidR="00D57B5D" w:rsidRPr="00D87F65" w:rsidRDefault="00D6373D" w:rsidP="00D57B5D">
      <w:pPr>
        <w:contextualSpacing/>
        <w:jc w:val="both"/>
      </w:pPr>
      <w:hyperlink r:id="rId5" w:history="1">
        <w:r w:rsidRPr="00D87F65">
          <w:rPr>
            <w:rStyle w:val="Hyperlink"/>
          </w:rPr>
          <w:t>https://dcnet.webex.com/dcnet/j.php?MTID=m567aeccef8b96672b240eec6969837ed</w:t>
        </w:r>
      </w:hyperlink>
    </w:p>
    <w:p w14:paraId="2C388B19" w14:textId="77777777" w:rsidR="00D6373D" w:rsidRPr="00D87F65" w:rsidRDefault="00D6373D" w:rsidP="00D57B5D">
      <w:pPr>
        <w:contextualSpacing/>
        <w:jc w:val="both"/>
        <w:rPr>
          <w:sz w:val="12"/>
          <w:szCs w:val="12"/>
        </w:rPr>
      </w:pPr>
    </w:p>
    <w:p w14:paraId="0B78865C" w14:textId="77777777" w:rsidR="00D57B5D" w:rsidRPr="00D87F65" w:rsidRDefault="00D57B5D" w:rsidP="00D57B5D">
      <w:pPr>
        <w:contextualSpacing/>
        <w:jc w:val="both"/>
        <w:rPr>
          <w:sz w:val="22"/>
          <w:szCs w:val="22"/>
        </w:rPr>
      </w:pPr>
      <w:r w:rsidRPr="00D87F65">
        <w:rPr>
          <w:sz w:val="22"/>
          <w:szCs w:val="22"/>
        </w:rPr>
        <w:t>We recommend logging in ten (10) minutes before the meeting starts. In order to access Webex, laptop or desktop computer users must use Google Chrome, Firefox, or Microsoft Edge Browsers.</w:t>
      </w:r>
    </w:p>
    <w:p w14:paraId="29C73E15" w14:textId="77777777" w:rsidR="00D57B5D" w:rsidRPr="00D87F65" w:rsidRDefault="00D57B5D" w:rsidP="00D57B5D">
      <w:pPr>
        <w:contextualSpacing/>
        <w:jc w:val="both"/>
        <w:rPr>
          <w:sz w:val="12"/>
          <w:szCs w:val="12"/>
        </w:rPr>
      </w:pPr>
    </w:p>
    <w:p w14:paraId="5BA56A1E" w14:textId="77777777" w:rsidR="00D57B5D" w:rsidRPr="00D87F65" w:rsidRDefault="00D57B5D" w:rsidP="00D57B5D">
      <w:pPr>
        <w:contextualSpacing/>
        <w:jc w:val="both"/>
        <w:rPr>
          <w:sz w:val="22"/>
          <w:szCs w:val="22"/>
        </w:rPr>
      </w:pPr>
      <w:r w:rsidRPr="00D87F65">
        <w:rPr>
          <w:sz w:val="22"/>
          <w:szCs w:val="22"/>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73E4ED77" w14:textId="77777777" w:rsidR="00D57B5D" w:rsidRPr="00D87F65" w:rsidRDefault="00D57B5D" w:rsidP="00D57B5D">
      <w:pPr>
        <w:contextualSpacing/>
        <w:jc w:val="both"/>
        <w:rPr>
          <w:sz w:val="12"/>
          <w:szCs w:val="12"/>
        </w:rPr>
      </w:pPr>
    </w:p>
    <w:p w14:paraId="3076F600" w14:textId="77777777" w:rsidR="00D57B5D" w:rsidRPr="00D87F65" w:rsidRDefault="00D57B5D" w:rsidP="00D57B5D">
      <w:pPr>
        <w:contextualSpacing/>
        <w:jc w:val="both"/>
        <w:rPr>
          <w:sz w:val="22"/>
          <w:szCs w:val="22"/>
        </w:rPr>
      </w:pPr>
      <w:r w:rsidRPr="00D87F65">
        <w:rPr>
          <w:sz w:val="22"/>
          <w:szCs w:val="22"/>
        </w:rPr>
        <w:t xml:space="preserve">Your computer, tablet, or smartphone’s built-in speaker and microphone will be used in the virtual meeting unless you use a headset.  Headsets provide better sound quality and privacy.  </w:t>
      </w:r>
    </w:p>
    <w:p w14:paraId="5EC83CEF" w14:textId="77777777" w:rsidR="00D57B5D" w:rsidRPr="00D87F65" w:rsidRDefault="00D57B5D" w:rsidP="00D57B5D">
      <w:pPr>
        <w:contextualSpacing/>
        <w:jc w:val="both"/>
        <w:rPr>
          <w:sz w:val="12"/>
          <w:szCs w:val="12"/>
        </w:rPr>
      </w:pPr>
    </w:p>
    <w:p w14:paraId="7BA5ACFC" w14:textId="77777777" w:rsidR="007A2411" w:rsidRPr="007A2411" w:rsidRDefault="007A2411" w:rsidP="007A2411">
      <w:pPr>
        <w:contextualSpacing/>
        <w:jc w:val="both"/>
        <w:rPr>
          <w:sz w:val="22"/>
          <w:szCs w:val="22"/>
        </w:rPr>
      </w:pPr>
      <w:r w:rsidRPr="007A2411">
        <w:rPr>
          <w:sz w:val="22"/>
          <w:szCs w:val="22"/>
        </w:rPr>
        <w:t>If you do not have access to the internet, please call-in toll number (US/Canada) 1-650-479-3208, Access Code: 2317 371 6106</w:t>
      </w:r>
    </w:p>
    <w:p w14:paraId="395F4040" w14:textId="77777777" w:rsidR="00D57B5D" w:rsidRPr="00D87F65" w:rsidRDefault="00D57B5D" w:rsidP="00D57B5D">
      <w:pPr>
        <w:contextualSpacing/>
        <w:jc w:val="both"/>
        <w:rPr>
          <w:sz w:val="12"/>
          <w:szCs w:val="12"/>
        </w:rPr>
      </w:pPr>
    </w:p>
    <w:p w14:paraId="16309897" w14:textId="77777777" w:rsidR="00D57B5D" w:rsidRPr="006E7BBB" w:rsidRDefault="00D57B5D" w:rsidP="00D57B5D">
      <w:pPr>
        <w:contextualSpacing/>
        <w:jc w:val="both"/>
        <w:rPr>
          <w:sz w:val="22"/>
          <w:szCs w:val="22"/>
        </w:rPr>
      </w:pPr>
      <w:r w:rsidRPr="00D87F65">
        <w:rPr>
          <w:sz w:val="22"/>
          <w:szCs w:val="22"/>
        </w:rPr>
        <w:t xml:space="preserve">Questions about the meeting may be directed to </w:t>
      </w:r>
      <w:hyperlink r:id="rId6" w:history="1">
        <w:r w:rsidRPr="00D87F65">
          <w:rPr>
            <w:rStyle w:val="Hyperlink"/>
            <w:color w:val="auto"/>
            <w:sz w:val="22"/>
            <w:szCs w:val="22"/>
          </w:rPr>
          <w:t>wynter.clarke@dc.gov</w:t>
        </w:r>
      </w:hyperlink>
      <w:r w:rsidRPr="00D87F65">
        <w:rPr>
          <w:sz w:val="22"/>
          <w:szCs w:val="22"/>
        </w:rPr>
        <w:t>.</w:t>
      </w:r>
    </w:p>
    <w:p w14:paraId="615A9B51" w14:textId="77777777" w:rsidR="00D57B5D" w:rsidRPr="00E52BC3" w:rsidRDefault="00D57B5D" w:rsidP="00D57B5D">
      <w:pPr>
        <w:rPr>
          <w:color w:val="000000" w:themeColor="text1"/>
          <w:sz w:val="22"/>
          <w:szCs w:val="22"/>
          <w:highlight w:val="yellow"/>
          <w:lang w:eastAsia="zh-CN"/>
        </w:rPr>
      </w:pPr>
    </w:p>
    <w:p w14:paraId="6C0550AF" w14:textId="77777777" w:rsidR="00D57B5D" w:rsidRPr="00B71DF0" w:rsidRDefault="00D57B5D" w:rsidP="00D57B5D">
      <w:pPr>
        <w:jc w:val="center"/>
        <w:rPr>
          <w:rFonts w:eastAsia="SimSun"/>
          <w:b/>
          <w:sz w:val="22"/>
          <w:szCs w:val="22"/>
          <w:lang w:eastAsia="zh-CN"/>
        </w:rPr>
      </w:pPr>
      <w:r w:rsidRPr="00B71DF0">
        <w:rPr>
          <w:rFonts w:eastAsia="SimSun"/>
          <w:b/>
          <w:sz w:val="22"/>
          <w:szCs w:val="22"/>
          <w:lang w:eastAsia="zh-CN"/>
        </w:rPr>
        <w:t>Agenda</w:t>
      </w:r>
    </w:p>
    <w:p w14:paraId="22F536BF" w14:textId="77777777" w:rsidR="00D57B5D" w:rsidRPr="00B71DF0" w:rsidRDefault="00D57B5D" w:rsidP="00D57B5D">
      <w:pPr>
        <w:jc w:val="center"/>
        <w:rPr>
          <w:rFonts w:eastAsia="SimSun"/>
          <w:sz w:val="22"/>
          <w:szCs w:val="22"/>
          <w:lang w:eastAsia="zh-CN"/>
        </w:rPr>
      </w:pPr>
      <w:r w:rsidRPr="00B71DF0">
        <w:rPr>
          <w:rFonts w:eastAsia="SimSun"/>
          <w:sz w:val="22"/>
          <w:szCs w:val="22"/>
          <w:lang w:eastAsia="zh-CN"/>
        </w:rPr>
        <w:t>D.C. OFFICE OF EMPLOYEE APPEALS (“OEA”) BOARD MEETING</w:t>
      </w:r>
    </w:p>
    <w:p w14:paraId="344209E4" w14:textId="61491F95" w:rsidR="00D57B5D" w:rsidRPr="00B71DF0" w:rsidRDefault="00D57B5D" w:rsidP="00D57B5D">
      <w:pPr>
        <w:jc w:val="center"/>
        <w:rPr>
          <w:rFonts w:eastAsia="SimSun"/>
          <w:sz w:val="22"/>
          <w:szCs w:val="22"/>
          <w:lang w:eastAsia="zh-CN"/>
        </w:rPr>
      </w:pPr>
      <w:r w:rsidRPr="009C2EE4">
        <w:rPr>
          <w:rFonts w:eastAsia="SimSun"/>
          <w:sz w:val="22"/>
          <w:szCs w:val="22"/>
          <w:lang w:eastAsia="zh-CN"/>
        </w:rPr>
        <w:t xml:space="preserve">Thursday, </w:t>
      </w:r>
      <w:r w:rsidR="00787C58">
        <w:rPr>
          <w:rFonts w:eastAsia="SimSun"/>
          <w:sz w:val="22"/>
          <w:szCs w:val="22"/>
          <w:lang w:eastAsia="zh-CN"/>
        </w:rPr>
        <w:t>April 23</w:t>
      </w:r>
      <w:r>
        <w:rPr>
          <w:rFonts w:eastAsia="SimSun"/>
          <w:sz w:val="22"/>
          <w:szCs w:val="22"/>
          <w:lang w:eastAsia="zh-CN"/>
        </w:rPr>
        <w:t>, 2026</w:t>
      </w:r>
      <w:r w:rsidRPr="009C2EE4">
        <w:rPr>
          <w:rFonts w:eastAsia="SimSun"/>
          <w:sz w:val="22"/>
          <w:szCs w:val="22"/>
          <w:lang w:eastAsia="zh-CN"/>
        </w:rPr>
        <w:t>, at 9:30 a.m.</w:t>
      </w:r>
    </w:p>
    <w:p w14:paraId="648234C3" w14:textId="77777777" w:rsidR="00D57B5D" w:rsidRPr="00B71DF0" w:rsidRDefault="00D57B5D" w:rsidP="00D57B5D">
      <w:pPr>
        <w:jc w:val="center"/>
        <w:rPr>
          <w:rFonts w:eastAsia="SimSun"/>
          <w:sz w:val="22"/>
          <w:szCs w:val="22"/>
          <w:lang w:eastAsia="zh-CN"/>
        </w:rPr>
      </w:pPr>
      <w:r w:rsidRPr="00B71DF0">
        <w:rPr>
          <w:rFonts w:eastAsia="SimSun"/>
          <w:sz w:val="22"/>
          <w:szCs w:val="22"/>
          <w:lang w:eastAsia="zh-CN"/>
        </w:rPr>
        <w:t>Location: Virtual Meeting via Webex</w:t>
      </w:r>
    </w:p>
    <w:p w14:paraId="722EFADF" w14:textId="77777777" w:rsidR="00D57B5D" w:rsidRPr="003B5B18" w:rsidRDefault="00D57B5D" w:rsidP="00D57B5D">
      <w:pPr>
        <w:jc w:val="center"/>
        <w:rPr>
          <w:rFonts w:eastAsia="SimSun"/>
          <w:sz w:val="12"/>
          <w:szCs w:val="12"/>
          <w:lang w:eastAsia="zh-CN"/>
        </w:rPr>
      </w:pPr>
    </w:p>
    <w:p w14:paraId="0F5B3BA5" w14:textId="77777777" w:rsidR="00D57B5D" w:rsidRPr="00B71DF0" w:rsidRDefault="00D57B5D" w:rsidP="00D57B5D">
      <w:pPr>
        <w:widowControl/>
        <w:numPr>
          <w:ilvl w:val="0"/>
          <w:numId w:val="1"/>
        </w:numPr>
        <w:tabs>
          <w:tab w:val="num" w:pos="450"/>
        </w:tabs>
        <w:ind w:hanging="1080"/>
        <w:contextualSpacing/>
        <w:jc w:val="both"/>
        <w:rPr>
          <w:rFonts w:eastAsia="SimSun"/>
          <w:sz w:val="22"/>
          <w:szCs w:val="22"/>
          <w:lang w:eastAsia="zh-CN"/>
        </w:rPr>
      </w:pPr>
      <w:r w:rsidRPr="00B71DF0">
        <w:rPr>
          <w:rFonts w:eastAsia="SimSun"/>
          <w:b/>
          <w:sz w:val="22"/>
          <w:szCs w:val="22"/>
          <w:lang w:eastAsia="zh-CN"/>
        </w:rPr>
        <w:t xml:space="preserve">Call to Order </w:t>
      </w:r>
    </w:p>
    <w:p w14:paraId="3A0BDB85" w14:textId="77777777" w:rsidR="00D57B5D" w:rsidRPr="00A012BA" w:rsidRDefault="00D57B5D" w:rsidP="00D57B5D">
      <w:pPr>
        <w:ind w:left="1080"/>
        <w:contextualSpacing/>
        <w:jc w:val="both"/>
        <w:rPr>
          <w:rFonts w:eastAsia="SimSun"/>
          <w:sz w:val="12"/>
          <w:szCs w:val="12"/>
          <w:lang w:eastAsia="zh-CN"/>
        </w:rPr>
      </w:pPr>
    </w:p>
    <w:p w14:paraId="73F14818" w14:textId="77777777" w:rsidR="00D57B5D" w:rsidRPr="00B71DF0" w:rsidRDefault="00D57B5D" w:rsidP="00D57B5D">
      <w:pPr>
        <w:widowControl/>
        <w:numPr>
          <w:ilvl w:val="0"/>
          <w:numId w:val="1"/>
        </w:numPr>
        <w:tabs>
          <w:tab w:val="num" w:pos="450"/>
          <w:tab w:val="num" w:pos="720"/>
          <w:tab w:val="left" w:pos="900"/>
        </w:tabs>
        <w:ind w:hanging="1080"/>
        <w:contextualSpacing/>
        <w:jc w:val="both"/>
        <w:rPr>
          <w:rFonts w:eastAsia="SimSun"/>
          <w:sz w:val="22"/>
          <w:szCs w:val="22"/>
          <w:lang w:eastAsia="zh-CN"/>
        </w:rPr>
      </w:pPr>
      <w:r w:rsidRPr="00B71DF0">
        <w:rPr>
          <w:rFonts w:eastAsia="SimSun"/>
          <w:b/>
          <w:sz w:val="22"/>
          <w:szCs w:val="22"/>
          <w:lang w:eastAsia="zh-CN"/>
        </w:rPr>
        <w:t>Ascertainment of Quorum</w:t>
      </w:r>
    </w:p>
    <w:p w14:paraId="0A67A534" w14:textId="77777777" w:rsidR="00D57B5D" w:rsidRPr="00A012BA" w:rsidRDefault="00D57B5D" w:rsidP="00D57B5D">
      <w:pPr>
        <w:ind w:left="720"/>
        <w:contextualSpacing/>
        <w:rPr>
          <w:rFonts w:eastAsia="SimSun"/>
          <w:sz w:val="12"/>
          <w:szCs w:val="12"/>
          <w:lang w:eastAsia="zh-CN"/>
        </w:rPr>
      </w:pPr>
    </w:p>
    <w:p w14:paraId="45395F55" w14:textId="77777777" w:rsidR="00D57B5D" w:rsidRPr="00B71DF0" w:rsidRDefault="00D57B5D" w:rsidP="00D57B5D">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Adoption of Agenda</w:t>
      </w:r>
    </w:p>
    <w:p w14:paraId="450B167F" w14:textId="77777777" w:rsidR="00D57B5D" w:rsidRPr="00A012BA" w:rsidRDefault="00D57B5D" w:rsidP="00D57B5D">
      <w:pPr>
        <w:ind w:left="1080"/>
        <w:contextualSpacing/>
        <w:jc w:val="both"/>
        <w:rPr>
          <w:rFonts w:eastAsia="SimSun"/>
          <w:sz w:val="12"/>
          <w:szCs w:val="12"/>
          <w:lang w:eastAsia="zh-CN"/>
        </w:rPr>
      </w:pPr>
    </w:p>
    <w:p w14:paraId="556ADF13" w14:textId="77777777" w:rsidR="00D57B5D" w:rsidRPr="00B71DF0" w:rsidRDefault="00D57B5D" w:rsidP="00D57B5D">
      <w:pPr>
        <w:widowControl/>
        <w:numPr>
          <w:ilvl w:val="0"/>
          <w:numId w:val="1"/>
        </w:numPr>
        <w:tabs>
          <w:tab w:val="num" w:pos="450"/>
        </w:tabs>
        <w:ind w:hanging="1080"/>
        <w:jc w:val="both"/>
        <w:rPr>
          <w:rFonts w:eastAsia="SimSun"/>
          <w:b/>
          <w:sz w:val="22"/>
          <w:szCs w:val="22"/>
          <w:lang w:eastAsia="zh-CN"/>
        </w:rPr>
      </w:pPr>
      <w:r w:rsidRPr="00B71DF0">
        <w:rPr>
          <w:rFonts w:eastAsia="SimSun"/>
          <w:b/>
          <w:sz w:val="22"/>
          <w:szCs w:val="22"/>
          <w:lang w:eastAsia="zh-CN"/>
        </w:rPr>
        <w:t>Minutes Reviewed from Previous Meeting</w:t>
      </w:r>
    </w:p>
    <w:p w14:paraId="7FFCCD0A" w14:textId="77777777" w:rsidR="00D57B5D" w:rsidRPr="00A012BA" w:rsidRDefault="00D57B5D" w:rsidP="00D57B5D">
      <w:pPr>
        <w:tabs>
          <w:tab w:val="left" w:pos="1133"/>
        </w:tabs>
        <w:jc w:val="both"/>
        <w:rPr>
          <w:rFonts w:eastAsia="Calibri"/>
          <w:sz w:val="12"/>
          <w:szCs w:val="12"/>
        </w:rPr>
      </w:pPr>
      <w:r w:rsidRPr="00B71DF0">
        <w:rPr>
          <w:rFonts w:eastAsia="Calibri"/>
          <w:sz w:val="22"/>
          <w:szCs w:val="22"/>
        </w:rPr>
        <w:tab/>
      </w:r>
    </w:p>
    <w:p w14:paraId="2053037A" w14:textId="77777777" w:rsidR="00D57B5D" w:rsidRPr="00B71DF0" w:rsidRDefault="00D57B5D" w:rsidP="00D57B5D">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New Business</w:t>
      </w:r>
    </w:p>
    <w:p w14:paraId="2BB92920" w14:textId="77777777" w:rsidR="00D57B5D" w:rsidRPr="00E41D8F" w:rsidRDefault="00D57B5D" w:rsidP="00D57B5D">
      <w:pPr>
        <w:contextualSpacing/>
        <w:jc w:val="both"/>
        <w:rPr>
          <w:rFonts w:eastAsia="SimSun"/>
          <w:sz w:val="12"/>
          <w:szCs w:val="12"/>
          <w:lang w:eastAsia="zh-CN"/>
        </w:rPr>
      </w:pPr>
    </w:p>
    <w:p w14:paraId="796B873D" w14:textId="77777777" w:rsidR="00D57B5D" w:rsidRPr="00B71DF0" w:rsidRDefault="00D57B5D" w:rsidP="00D57B5D">
      <w:pPr>
        <w:widowControl/>
        <w:numPr>
          <w:ilvl w:val="1"/>
          <w:numId w:val="1"/>
        </w:numPr>
        <w:tabs>
          <w:tab w:val="num" w:pos="900"/>
        </w:tabs>
        <w:ind w:hanging="990"/>
        <w:contextualSpacing/>
        <w:jc w:val="both"/>
        <w:rPr>
          <w:rFonts w:eastAsia="SimSun"/>
          <w:b/>
          <w:sz w:val="22"/>
          <w:szCs w:val="22"/>
          <w:lang w:eastAsia="zh-CN"/>
        </w:rPr>
      </w:pPr>
      <w:r w:rsidRPr="00B71DF0">
        <w:rPr>
          <w:rFonts w:eastAsia="SimSun"/>
          <w:b/>
          <w:sz w:val="22"/>
          <w:szCs w:val="22"/>
          <w:lang w:eastAsia="zh-CN"/>
        </w:rPr>
        <w:t>Public Comments on Petitions for Review</w:t>
      </w:r>
    </w:p>
    <w:p w14:paraId="2D302E77" w14:textId="77777777" w:rsidR="00D57B5D" w:rsidRPr="00A012BA" w:rsidRDefault="00D57B5D" w:rsidP="00D57B5D">
      <w:pPr>
        <w:tabs>
          <w:tab w:val="num" w:pos="1440"/>
        </w:tabs>
        <w:ind w:left="1440"/>
        <w:contextualSpacing/>
        <w:jc w:val="both"/>
        <w:rPr>
          <w:rFonts w:eastAsia="SimSun"/>
          <w:b/>
          <w:sz w:val="12"/>
          <w:szCs w:val="12"/>
          <w:lang w:eastAsia="zh-CN"/>
        </w:rPr>
      </w:pPr>
    </w:p>
    <w:p w14:paraId="2C735616" w14:textId="77777777" w:rsidR="00D57B5D" w:rsidRDefault="00D57B5D" w:rsidP="00D57B5D">
      <w:pPr>
        <w:widowControl/>
        <w:numPr>
          <w:ilvl w:val="1"/>
          <w:numId w:val="1"/>
        </w:numPr>
        <w:tabs>
          <w:tab w:val="num" w:pos="900"/>
        </w:tabs>
        <w:ind w:hanging="990"/>
        <w:contextualSpacing/>
        <w:jc w:val="both"/>
        <w:rPr>
          <w:rFonts w:eastAsia="SimSun"/>
          <w:b/>
          <w:sz w:val="22"/>
          <w:szCs w:val="22"/>
          <w:lang w:eastAsia="zh-CN"/>
        </w:rPr>
      </w:pPr>
      <w:r w:rsidRPr="00CB2B33">
        <w:rPr>
          <w:rFonts w:eastAsia="SimSun"/>
          <w:b/>
          <w:sz w:val="22"/>
          <w:szCs w:val="22"/>
          <w:lang w:eastAsia="zh-CN"/>
        </w:rPr>
        <w:t>Summary of Cases</w:t>
      </w:r>
    </w:p>
    <w:p w14:paraId="5FBA4F13" w14:textId="77777777" w:rsidR="00D57B5D" w:rsidRPr="00E60A68" w:rsidRDefault="00D57B5D" w:rsidP="00D57B5D">
      <w:pPr>
        <w:pStyle w:val="ListParagraph"/>
        <w:rPr>
          <w:rFonts w:eastAsia="SimSun"/>
          <w:b/>
          <w:sz w:val="12"/>
          <w:szCs w:val="12"/>
          <w:lang w:eastAsia="zh-CN"/>
        </w:rPr>
      </w:pPr>
    </w:p>
    <w:p w14:paraId="751FF7A2" w14:textId="42CD5988" w:rsidR="00B42E0D" w:rsidRPr="00B42E0D" w:rsidRDefault="00D57B5D" w:rsidP="00B42E0D">
      <w:pPr>
        <w:pStyle w:val="ListParagraph"/>
        <w:numPr>
          <w:ilvl w:val="2"/>
          <w:numId w:val="1"/>
        </w:numPr>
        <w:jc w:val="both"/>
        <w:rPr>
          <w:sz w:val="22"/>
          <w:szCs w:val="22"/>
          <w14:ligatures w14:val="none"/>
        </w:rPr>
      </w:pPr>
      <w:r w:rsidRPr="00317EB3">
        <w:rPr>
          <w:rFonts w:eastAsia="SimSun"/>
          <w:b/>
          <w:sz w:val="22"/>
          <w:szCs w:val="22"/>
          <w:lang w:eastAsia="zh-CN"/>
        </w:rPr>
        <w:t xml:space="preserve">Employee v. </w:t>
      </w:r>
      <w:r w:rsidRPr="00317EB3">
        <w:rPr>
          <w:b/>
          <w:bCs/>
          <w:sz w:val="22"/>
          <w:szCs w:val="22"/>
        </w:rPr>
        <w:t>D.C. Fire &amp; Emergency Medical Services</w:t>
      </w:r>
      <w:r w:rsidRPr="00317EB3">
        <w:rPr>
          <w:rFonts w:eastAsia="SimSun"/>
          <w:b/>
          <w:sz w:val="22"/>
          <w:szCs w:val="22"/>
          <w:lang w:eastAsia="zh-CN"/>
        </w:rPr>
        <w:t xml:space="preserve">, OEA Matter No. </w:t>
      </w:r>
      <w:r w:rsidRPr="00317EB3">
        <w:rPr>
          <w:b/>
          <w:bCs/>
          <w:sz w:val="22"/>
          <w:szCs w:val="22"/>
        </w:rPr>
        <w:t>1601-0025-25</w:t>
      </w:r>
      <w:r w:rsidR="00B42E0D" w:rsidRPr="00317EB3">
        <w:rPr>
          <w:b/>
          <w:bCs/>
          <w:sz w:val="22"/>
          <w:szCs w:val="22"/>
        </w:rPr>
        <w:t>—</w:t>
      </w:r>
      <w:r w:rsidR="00B42E0D" w:rsidRPr="00B42E0D">
        <w:rPr>
          <w:sz w:val="22"/>
          <w:szCs w:val="22"/>
          <w14:ligatures w14:val="none"/>
        </w:rPr>
        <w:t xml:space="preserve">Employee worked as a Battalion Emergency Medical Services (“EMS”) Supervisor with the D.C. Fire and Emergency Medical Services (“Agency”). On January 21, 2025, Agency suspended Employee for 240 duty hours for violation of Agency Order Book Article VI, § 6 – Conduct Unbecoming of an Employee.  Employee filed a Petition for Appeal with the Office of Employee Appeals (“OEA”) on February 24, 2025. He asserted that the charge was derived from false pretenses and that Agency discriminated against him because of a medical condition. Moreover, Employee contended that Agency improperly considered the </w:t>
      </w:r>
      <w:r w:rsidR="00B42E0D" w:rsidRPr="00B42E0D">
        <w:rPr>
          <w:i/>
          <w:iCs/>
          <w:sz w:val="22"/>
          <w:szCs w:val="22"/>
          <w14:ligatures w14:val="none"/>
        </w:rPr>
        <w:t>Douglas</w:t>
      </w:r>
      <w:r w:rsidR="00B42E0D" w:rsidRPr="00B42E0D">
        <w:rPr>
          <w:sz w:val="22"/>
          <w:szCs w:val="22"/>
          <w14:ligatures w14:val="none"/>
        </w:rPr>
        <w:t xml:space="preserve"> factors when determining its penalty. Accordingly, Employee sought to have the suspension action reversed with an award of back pay lost </w:t>
      </w:r>
      <w:r w:rsidR="00B42E0D" w:rsidRPr="00B42E0D">
        <w:rPr>
          <w:sz w:val="22"/>
          <w:szCs w:val="22"/>
          <w14:ligatures w14:val="none"/>
        </w:rPr>
        <w:lastRenderedPageBreak/>
        <w:t xml:space="preserve">as a result of the suspension.   </w:t>
      </w:r>
    </w:p>
    <w:p w14:paraId="666BFE01" w14:textId="77777777" w:rsidR="00B42E0D" w:rsidRPr="00D75183" w:rsidRDefault="00B42E0D" w:rsidP="00B42E0D">
      <w:pPr>
        <w:pStyle w:val="NoSpacing"/>
        <w:contextualSpacing/>
        <w:jc w:val="both"/>
        <w:rPr>
          <w:sz w:val="12"/>
          <w:szCs w:val="12"/>
        </w:rPr>
      </w:pPr>
    </w:p>
    <w:p w14:paraId="57FC6BD1" w14:textId="77777777" w:rsidR="00B42E0D" w:rsidRPr="003F472B" w:rsidRDefault="00B42E0D" w:rsidP="00317EB3">
      <w:pPr>
        <w:pStyle w:val="NoSpacing"/>
        <w:ind w:left="1620"/>
        <w:contextualSpacing/>
        <w:jc w:val="both"/>
        <w:rPr>
          <w:sz w:val="22"/>
          <w:szCs w:val="22"/>
        </w:rPr>
      </w:pPr>
      <w:r w:rsidRPr="003F472B">
        <w:rPr>
          <w:sz w:val="22"/>
          <w:szCs w:val="22"/>
        </w:rPr>
        <w:t xml:space="preserve">Agency filed its Answer to Employee’s Petition for Appeal on March 25, 2025. It argued that six employees described that while Employee was stationed at the Office of Unified Communications (“OUC”), he threw objects, smashed his computer screen, and yelled profanities. According to Agency, the employees provided that they feared that Employee was a danger in the workplace. As a result, it opined that it had cause to charge Employee with Conduct Unbecoming and to impose a 240-hour suspension from February 3, 2025, through March 14, 2025. Additionally, Agency provided that it appropriately considered the </w:t>
      </w:r>
      <w:r w:rsidRPr="003F472B">
        <w:rPr>
          <w:i/>
          <w:iCs/>
          <w:sz w:val="22"/>
          <w:szCs w:val="22"/>
        </w:rPr>
        <w:t>Douglas</w:t>
      </w:r>
      <w:r w:rsidRPr="003F472B">
        <w:rPr>
          <w:sz w:val="22"/>
          <w:szCs w:val="22"/>
        </w:rPr>
        <w:t xml:space="preserve"> factors in determining the penalty.  Consequently, it requested that its action be upheld.    </w:t>
      </w:r>
    </w:p>
    <w:p w14:paraId="09C109A5" w14:textId="77777777" w:rsidR="00B42E0D" w:rsidRPr="00D75183" w:rsidRDefault="00B42E0D" w:rsidP="00B42E0D">
      <w:pPr>
        <w:pStyle w:val="NoSpacing"/>
        <w:contextualSpacing/>
        <w:jc w:val="both"/>
        <w:rPr>
          <w:sz w:val="12"/>
          <w:szCs w:val="12"/>
        </w:rPr>
      </w:pPr>
    </w:p>
    <w:p w14:paraId="4D9BB4D0" w14:textId="77777777" w:rsidR="00B42E0D" w:rsidRPr="003F472B" w:rsidRDefault="00B42E0D" w:rsidP="00317EB3">
      <w:pPr>
        <w:pStyle w:val="NoSpacing"/>
        <w:ind w:left="1620"/>
        <w:contextualSpacing/>
        <w:jc w:val="both"/>
        <w:rPr>
          <w:sz w:val="22"/>
          <w:szCs w:val="22"/>
        </w:rPr>
      </w:pPr>
      <w:r w:rsidRPr="003F472B">
        <w:rPr>
          <w:sz w:val="22"/>
          <w:szCs w:val="22"/>
        </w:rPr>
        <w:t xml:space="preserve">On November 6, 2025, the OEA Administrative Judge (“AJ”) issued an Initial Decision. The decision initially summarized the facts and procedures that were relevant to the current matter. However, later in the decision, the AJ referenced an employee who was an Emergency Medical Technician who failed to properly use the call procedure for sick leave. For over ten pages, he analyzed the termination action taken against another employee and not the 240-hour suspension of the Employee in this matter. Ultimately, the AJ upheld Agency’s action to terminate Employee.   </w:t>
      </w:r>
    </w:p>
    <w:p w14:paraId="69748067" w14:textId="77777777" w:rsidR="00B42E0D" w:rsidRPr="00D75183" w:rsidRDefault="00B42E0D" w:rsidP="00B42E0D">
      <w:pPr>
        <w:pStyle w:val="NoSpacing"/>
        <w:contextualSpacing/>
        <w:jc w:val="both"/>
        <w:rPr>
          <w:sz w:val="12"/>
          <w:szCs w:val="12"/>
        </w:rPr>
      </w:pPr>
    </w:p>
    <w:p w14:paraId="356EDE63" w14:textId="77777777" w:rsidR="00B42E0D" w:rsidRPr="003F472B" w:rsidRDefault="00B42E0D" w:rsidP="00317EB3">
      <w:pPr>
        <w:pStyle w:val="NoSpacing"/>
        <w:ind w:left="1620"/>
        <w:contextualSpacing/>
        <w:jc w:val="both"/>
        <w:rPr>
          <w:sz w:val="22"/>
          <w:szCs w:val="22"/>
        </w:rPr>
      </w:pPr>
      <w:r w:rsidRPr="003F472B">
        <w:rPr>
          <w:sz w:val="22"/>
          <w:szCs w:val="22"/>
        </w:rPr>
        <w:t>Employee filed a Petition of Review on December 9, 2025. He asserts that the majority of the facts provided in the Initial Decision were inaccurate. Employee provides that the AJ made mistakes related to his past disciplinary history and outlined charges that were never taken against him. Additionally, he contends that the AJ made a grave error in upholding a termination action in his order, when his penalty was a 240-hour suspension. Consequently, Employee objects to the Initial Decision on the basis that the decision is based on an erroneous interpretation of statue, regulation, or policy; the decision was not based on substantial evidence; and the decision did not address all issues of law and fact properly raised on appeal.</w:t>
      </w:r>
    </w:p>
    <w:p w14:paraId="7956562D" w14:textId="77777777" w:rsidR="00B42E0D" w:rsidRPr="00D75183" w:rsidRDefault="00B42E0D" w:rsidP="00B42E0D">
      <w:pPr>
        <w:contextualSpacing/>
        <w:rPr>
          <w:sz w:val="12"/>
          <w:szCs w:val="12"/>
        </w:rPr>
      </w:pPr>
    </w:p>
    <w:p w14:paraId="0034F0DE" w14:textId="77777777" w:rsidR="00B42E0D" w:rsidRPr="003F472B" w:rsidRDefault="00B42E0D" w:rsidP="00317EB3">
      <w:pPr>
        <w:ind w:left="1620"/>
        <w:contextualSpacing/>
        <w:jc w:val="both"/>
        <w:rPr>
          <w:sz w:val="22"/>
          <w:szCs w:val="22"/>
        </w:rPr>
      </w:pPr>
      <w:r w:rsidRPr="003F472B">
        <w:rPr>
          <w:sz w:val="22"/>
          <w:szCs w:val="22"/>
        </w:rPr>
        <w:t xml:space="preserve">Similarly, on January 9, 2026, Agency filed a Motion for Remand. It opines that the Initial Decision does not include the analysis of the adverse action at issue in this case – the 240-hour suspension. Agency provides that pages 6-16 of the decision are a republication of an OEA decision on </w:t>
      </w:r>
      <w:r w:rsidRPr="003F472B">
        <w:rPr>
          <w:i/>
          <w:iCs/>
          <w:sz w:val="22"/>
          <w:szCs w:val="22"/>
        </w:rPr>
        <w:t>Employee v. D.C. Fire and Emergency Medical Services Department</w:t>
      </w:r>
      <w:r w:rsidRPr="003F472B">
        <w:rPr>
          <w:sz w:val="22"/>
          <w:szCs w:val="22"/>
        </w:rPr>
        <w:t>, OEA Matter No. 1601-0001-24 (June 26, 2024). As a result, Agency requests that the OEA Board remand the case to the AJ to provide an analysis of the current case.</w:t>
      </w:r>
    </w:p>
    <w:p w14:paraId="73DFE0A9" w14:textId="0A091326" w:rsidR="0018330A" w:rsidRPr="00317EB3" w:rsidRDefault="0018330A" w:rsidP="00B42E0D">
      <w:pPr>
        <w:pStyle w:val="ListParagraph"/>
        <w:ind w:left="1620"/>
        <w:rPr>
          <w:sz w:val="12"/>
          <w:szCs w:val="12"/>
        </w:rPr>
      </w:pPr>
    </w:p>
    <w:p w14:paraId="7F6E42BE" w14:textId="240C6EF3" w:rsidR="00F0162B" w:rsidRPr="00607F42" w:rsidRDefault="00D57B5D" w:rsidP="00F0162B">
      <w:pPr>
        <w:pStyle w:val="ListParagraph"/>
        <w:numPr>
          <w:ilvl w:val="2"/>
          <w:numId w:val="1"/>
        </w:numPr>
        <w:jc w:val="both"/>
        <w:rPr>
          <w:sz w:val="22"/>
          <w:szCs w:val="22"/>
        </w:rPr>
      </w:pPr>
      <w:r w:rsidRPr="00607F42">
        <w:rPr>
          <w:rFonts w:eastAsia="SimSun"/>
          <w:b/>
          <w:sz w:val="22"/>
          <w:szCs w:val="22"/>
          <w:lang w:eastAsia="zh-CN"/>
        </w:rPr>
        <w:t xml:space="preserve">Employee v. </w:t>
      </w:r>
      <w:r w:rsidRPr="00607F42">
        <w:rPr>
          <w:b/>
          <w:sz w:val="22"/>
          <w:szCs w:val="22"/>
        </w:rPr>
        <w:t>D.C. Housing Commission, OEA Matter No. 2401-0018-25</w:t>
      </w:r>
      <w:r w:rsidR="00F0162B" w:rsidRPr="00607F42">
        <w:rPr>
          <w:sz w:val="22"/>
          <w:szCs w:val="22"/>
        </w:rPr>
        <w:t>—Employee worked as a Mediator with the D.C. Housing Commission (“Agency”). On December 9, 2024, Agency notified Employee of its intent to separate her from service pursuant to a Reduction-in-Force (“RIF”). According to Agency, the RIF was effectuated due to a lack of work. The effective date of Employee’s separation was January 10, 2025.</w:t>
      </w:r>
    </w:p>
    <w:p w14:paraId="440371BA" w14:textId="77777777" w:rsidR="00F0162B" w:rsidRPr="00787C58" w:rsidRDefault="00F0162B" w:rsidP="00F0162B">
      <w:pPr>
        <w:contextualSpacing/>
        <w:jc w:val="both"/>
        <w:rPr>
          <w:sz w:val="12"/>
          <w:szCs w:val="12"/>
        </w:rPr>
      </w:pPr>
    </w:p>
    <w:p w14:paraId="532ECC67" w14:textId="77777777" w:rsidR="00F0162B" w:rsidRPr="00581EAF" w:rsidRDefault="00F0162B" w:rsidP="00607F42">
      <w:pPr>
        <w:ind w:left="1620"/>
        <w:contextualSpacing/>
        <w:jc w:val="both"/>
        <w:rPr>
          <w:sz w:val="22"/>
          <w:szCs w:val="22"/>
        </w:rPr>
      </w:pPr>
      <w:r w:rsidRPr="00581EAF">
        <w:rPr>
          <w:sz w:val="22"/>
          <w:szCs w:val="22"/>
        </w:rPr>
        <w:t>Employee filed a Petition for Appeal with the Office of Employee Appeals (“OEA”) on January 13, 2025. She argued that the notice was insufficient; the RIF violated the Rental Housing Act of 1985; her separation was pretextual; and the RIF was conducted after she filed a complaint with the Equal Employment Opportunity Commission (“EEOC”). Consequently, Employee requested reinstatement, back pay, and the restoration of all leave lost as a result of Agency’s RIF action.</w:t>
      </w:r>
    </w:p>
    <w:p w14:paraId="45647178" w14:textId="77777777" w:rsidR="00F0162B" w:rsidRPr="00787C58" w:rsidRDefault="00F0162B" w:rsidP="00F0162B">
      <w:pPr>
        <w:contextualSpacing/>
        <w:jc w:val="both"/>
        <w:rPr>
          <w:sz w:val="12"/>
          <w:szCs w:val="12"/>
        </w:rPr>
      </w:pPr>
    </w:p>
    <w:p w14:paraId="3961F192" w14:textId="77777777" w:rsidR="00F0162B" w:rsidRPr="00581EAF" w:rsidRDefault="00F0162B" w:rsidP="00607F42">
      <w:pPr>
        <w:ind w:left="1620"/>
        <w:contextualSpacing/>
        <w:jc w:val="both"/>
        <w:rPr>
          <w:sz w:val="22"/>
          <w:szCs w:val="22"/>
        </w:rPr>
      </w:pPr>
      <w:r w:rsidRPr="00581EAF">
        <w:rPr>
          <w:sz w:val="22"/>
          <w:szCs w:val="22"/>
        </w:rPr>
        <w:t xml:space="preserve">On February 13, 2025, Agency filed a Partial Motion to Dismiss, Motion for Summary Adjudication, and Answer to Employee’s Petition for Appeal. It asserted that OEA lacked jurisdiction over Employee’s claims of retaliation or an alleged violation of the </w:t>
      </w:r>
      <w:r w:rsidRPr="00581EAF">
        <w:rPr>
          <w:sz w:val="22"/>
          <w:szCs w:val="22"/>
        </w:rPr>
        <w:lastRenderedPageBreak/>
        <w:t>Rental Housing Act. Additionally, it provided that the RIF notice complied with all statutory requirements. In the alternative, Agency suggested that even if Employee did not receive a full thirty-days’ notice of separation, her recovery was limited to payment of one additional day of administrative leave. Therefore, Agency requested that the RIF be upheld.</w:t>
      </w:r>
    </w:p>
    <w:p w14:paraId="7D7D33DE" w14:textId="77777777" w:rsidR="00F0162B" w:rsidRPr="00787C58" w:rsidRDefault="00F0162B" w:rsidP="00F0162B">
      <w:pPr>
        <w:contextualSpacing/>
        <w:jc w:val="both"/>
        <w:rPr>
          <w:sz w:val="12"/>
          <w:szCs w:val="12"/>
        </w:rPr>
      </w:pPr>
    </w:p>
    <w:p w14:paraId="473BD6F1" w14:textId="77777777" w:rsidR="00F0162B" w:rsidRPr="00581EAF" w:rsidRDefault="00F0162B" w:rsidP="00607F42">
      <w:pPr>
        <w:ind w:left="1620"/>
        <w:contextualSpacing/>
        <w:jc w:val="both"/>
        <w:rPr>
          <w:sz w:val="22"/>
          <w:szCs w:val="22"/>
        </w:rPr>
      </w:pPr>
      <w:r w:rsidRPr="00581EAF">
        <w:rPr>
          <w:sz w:val="22"/>
          <w:szCs w:val="22"/>
        </w:rPr>
        <w:t>On March 19, 2025, Agency filed a Motion to Dismiss with Prejudice. According to Agency, on December 30, 2025, Employee submitted a grievance through her union representative requesting that Agency immediately rescind the RIF notice based on violations of the District Personnel Manual (“DPM”) and the Collective Bargaining Agreement (“CBA”). It explained that Agency denied the grievance on January 9, 2025; Employee appealed Agency’s denial of the grievance to an arbitrator on or around January 13, 2025; and the arbitration remained ongoing at the time of its filing. Therefore, Agency reasoned that Employee elected to grieve her RIF separation prior to filing an appeal with OEA, which constituted an election of remedies under D.C. Code § 1-616.52(e). It further characterized Employee’s attempted invocation of both the negotiated grievance procedure and the OEA appeal procedure as an impermissible second bite at the apple. Thus, it submitted that Employee’s appeal was improperly before this Office.</w:t>
      </w:r>
    </w:p>
    <w:p w14:paraId="5DB1A8CD" w14:textId="77777777" w:rsidR="00F0162B" w:rsidRPr="000A793D" w:rsidRDefault="00F0162B" w:rsidP="00F0162B">
      <w:pPr>
        <w:contextualSpacing/>
        <w:jc w:val="both"/>
        <w:rPr>
          <w:sz w:val="12"/>
          <w:szCs w:val="12"/>
        </w:rPr>
      </w:pPr>
    </w:p>
    <w:p w14:paraId="03A5A4BB" w14:textId="77777777" w:rsidR="00F0162B" w:rsidRPr="00581EAF" w:rsidRDefault="00F0162B" w:rsidP="00607F42">
      <w:pPr>
        <w:ind w:left="1620"/>
        <w:contextualSpacing/>
        <w:jc w:val="both"/>
        <w:rPr>
          <w:sz w:val="22"/>
          <w:szCs w:val="22"/>
        </w:rPr>
      </w:pPr>
      <w:r w:rsidRPr="00581EAF">
        <w:rPr>
          <w:sz w:val="22"/>
          <w:szCs w:val="22"/>
        </w:rPr>
        <w:t>On March 20, 2025, the AJ issued an order requiring Employee to address the issue of jurisdiction. In her brief, Employee asserted that she was not precluded from filing an appeal with OEA because Agency did not respond to her grievance in a timely manner. Accordingly, she opined that the grievance did not preclude her appeal to OEA, and she requested that Agency’s motion be dismissed with prejudice.</w:t>
      </w:r>
    </w:p>
    <w:p w14:paraId="04AD4EC3" w14:textId="77777777" w:rsidR="00F0162B" w:rsidRPr="000A793D" w:rsidRDefault="00F0162B" w:rsidP="00F0162B">
      <w:pPr>
        <w:contextualSpacing/>
        <w:jc w:val="both"/>
        <w:rPr>
          <w:sz w:val="12"/>
          <w:szCs w:val="12"/>
        </w:rPr>
      </w:pPr>
    </w:p>
    <w:p w14:paraId="07B3447E" w14:textId="77777777" w:rsidR="00F0162B" w:rsidRPr="00581EAF" w:rsidRDefault="00F0162B" w:rsidP="00607F42">
      <w:pPr>
        <w:ind w:left="1620"/>
        <w:contextualSpacing/>
        <w:jc w:val="both"/>
        <w:rPr>
          <w:sz w:val="22"/>
          <w:szCs w:val="22"/>
        </w:rPr>
      </w:pPr>
      <w:r w:rsidRPr="00581EAF">
        <w:rPr>
          <w:sz w:val="22"/>
          <w:szCs w:val="22"/>
        </w:rPr>
        <w:t>The AJ issued an Initial Decision on October 6, 2025. He concluded that it was undisputed that Employee was a member of the American Federation of Government Employees (“AFGE”), Local 2725; AFGE filed a grievance on Employee’s behalf on December 30, 2024; and under the terms of the CBA between the Agency and AFGE, Employee had the right to appeal an Agency final decision via the negotiated grievance procedure or by filing a petition with OEA but not both. The AJ explained that AFGE denied Employee’s grievance on January 9, 2025, and she then filed an appeal with this Office on January 13, 2025. Therefore, he reasoned that pursuant to D.C. Code § 1-616.52 (e), Employee was precluded from simultaneously appealing her termination to OEA and through the negotiated grievance procedure. The AJ further ruled that under D.C. Code § 1-616.52 (f), once an avenue of review is first selected, the possibility of review via the other route was closed. Accordingly, the AJ held that OEA lacked jurisdiction over Employee’s appeal because she first opted to contest her removal under the grievance procedure outlined in the CBA. As a result, Employee’s petition was dismissed.</w:t>
      </w:r>
    </w:p>
    <w:p w14:paraId="03574B5A" w14:textId="77777777" w:rsidR="00F0162B" w:rsidRPr="000A793D" w:rsidRDefault="00F0162B" w:rsidP="00F0162B">
      <w:pPr>
        <w:contextualSpacing/>
        <w:jc w:val="both"/>
        <w:rPr>
          <w:sz w:val="12"/>
          <w:szCs w:val="12"/>
        </w:rPr>
      </w:pPr>
    </w:p>
    <w:p w14:paraId="46F26A4D" w14:textId="77777777" w:rsidR="00F0162B" w:rsidRPr="00581EAF" w:rsidRDefault="00F0162B" w:rsidP="00607F42">
      <w:pPr>
        <w:ind w:left="1620"/>
        <w:contextualSpacing/>
        <w:jc w:val="both"/>
        <w:rPr>
          <w:sz w:val="22"/>
          <w:szCs w:val="22"/>
        </w:rPr>
      </w:pPr>
      <w:r w:rsidRPr="00581EAF">
        <w:rPr>
          <w:sz w:val="22"/>
          <w:szCs w:val="22"/>
        </w:rPr>
        <w:t xml:space="preserve">Employee filed a Petition for Review with the OEA Board on November 21, 2025. First, she argues that the union grievance concerned Agency’s purported violations of its RIF notice obligations under Article 3, Section A(1) of the CBA, not whether her specific removal complied with the applicable RIF regulations. Hence, she reasons that her filing did not constitute an election of the grievance procedure. Next, Employee contends that she was not precluded from filing an appeal with OEA because the Step 4 grievance was filed by her union in its independent, institutional capacity and because the grievance was neither signed nor initiated by her. She further opines that the AJ misapplied D.C. Code § 1-616.52 (e) and (f) in finding that this Office lacks jurisdiction because the union grievance and her appeal to OEA contest distinct legal theories, different parties in interest, and separate remedies. Finally, Employee suggests that the AJ should have held </w:t>
      </w:r>
      <w:r w:rsidRPr="00581EAF">
        <w:rPr>
          <w:sz w:val="22"/>
          <w:szCs w:val="22"/>
        </w:rPr>
        <w:lastRenderedPageBreak/>
        <w:t>a hearing on the issue of jurisdiction to determine the scope of the grievance. Therefore, she asks that the Board reverse the Initial Decision or remand the matter for additional factfinding.</w:t>
      </w:r>
    </w:p>
    <w:p w14:paraId="5CE4E510" w14:textId="77777777" w:rsidR="00F0162B" w:rsidRPr="000A793D" w:rsidRDefault="00F0162B" w:rsidP="00F0162B">
      <w:pPr>
        <w:rPr>
          <w:sz w:val="12"/>
          <w:szCs w:val="12"/>
        </w:rPr>
      </w:pPr>
    </w:p>
    <w:p w14:paraId="54346F87" w14:textId="77777777" w:rsidR="00F0162B" w:rsidRPr="00581EAF" w:rsidRDefault="00F0162B" w:rsidP="00607F42">
      <w:pPr>
        <w:ind w:left="1620"/>
        <w:jc w:val="both"/>
        <w:rPr>
          <w:sz w:val="22"/>
          <w:szCs w:val="22"/>
        </w:rPr>
      </w:pPr>
      <w:r w:rsidRPr="00581EAF">
        <w:rPr>
          <w:sz w:val="22"/>
          <w:szCs w:val="22"/>
        </w:rPr>
        <w:t>In response, Agency argues that Employee’s petition to the Board violates D.C. Code § 1.606.03(c) and Chapter 6-B, Section 635.2 of the D.C. Municipal Regulations (“DCMR”) because it was not submitted within the thirty-five-day filing deadline. Alternatively, it submits that Employee’s petition should be denied because the arguments contained therein are meritless; she first elected to grieve her separation under the RIF pursuant to the CBA; and Employee’s argument that the grievance contested a separate legal issue should be considered waived since it was not presented to the AJ for consideration. Notwithstanding, Agency maintains that Employee’s grievance explicitly contested her separation from service; the adequacy of the RIF notice; and the underlying legality of the RIF, the same matters she currently seeks to appeal before OEA. Consequently, Agency opines that the Initial Decision is supported by substantial evidence, and it requests that the Board deny Employee’s petition.</w:t>
      </w:r>
    </w:p>
    <w:p w14:paraId="4E46711D" w14:textId="77777777" w:rsidR="00F0162B" w:rsidRPr="000A793D" w:rsidRDefault="00F0162B" w:rsidP="00C86389">
      <w:pPr>
        <w:rPr>
          <w:sz w:val="12"/>
          <w:szCs w:val="12"/>
        </w:rPr>
      </w:pPr>
    </w:p>
    <w:p w14:paraId="3A314AD1" w14:textId="5997BC5C" w:rsidR="00BE732C" w:rsidRPr="00BE732C" w:rsidRDefault="002617FA" w:rsidP="00BE732C">
      <w:pPr>
        <w:pStyle w:val="ListParagraph"/>
        <w:numPr>
          <w:ilvl w:val="2"/>
          <w:numId w:val="1"/>
        </w:numPr>
        <w:jc w:val="both"/>
        <w:rPr>
          <w:sz w:val="22"/>
          <w:szCs w:val="22"/>
        </w:rPr>
      </w:pPr>
      <w:r w:rsidRPr="00BE732C">
        <w:rPr>
          <w:rFonts w:eastAsia="SimSun"/>
          <w:b/>
          <w:sz w:val="22"/>
          <w:szCs w:val="22"/>
          <w:lang w:eastAsia="zh-CN"/>
        </w:rPr>
        <w:t>Employee v.</w:t>
      </w:r>
      <w:r w:rsidRPr="00BE732C">
        <w:rPr>
          <w:b/>
          <w:sz w:val="22"/>
          <w:szCs w:val="22"/>
        </w:rPr>
        <w:t xml:space="preserve"> </w:t>
      </w:r>
      <w:r w:rsidR="00C86389" w:rsidRPr="00BE732C">
        <w:rPr>
          <w:b/>
          <w:sz w:val="22"/>
          <w:szCs w:val="22"/>
        </w:rPr>
        <w:t>Metropolitan Police Department, OEA Matter No.</w:t>
      </w:r>
      <w:r w:rsidR="0023793A" w:rsidRPr="00BE732C">
        <w:rPr>
          <w:b/>
          <w:sz w:val="22"/>
          <w:szCs w:val="22"/>
        </w:rPr>
        <w:t xml:space="preserve"> 1601-0035-25</w:t>
      </w:r>
      <w:r w:rsidR="0023793A" w:rsidRPr="00BE732C">
        <w:rPr>
          <w:sz w:val="22"/>
          <w:szCs w:val="22"/>
        </w:rPr>
        <w:t>—</w:t>
      </w:r>
      <w:r w:rsidR="00BE732C" w:rsidRPr="00BE732C">
        <w:rPr>
          <w:sz w:val="22"/>
          <w:szCs w:val="22"/>
        </w:rPr>
        <w:t xml:space="preserve">Employee worked as a Police Officer with the Metropolitan Police Department (“Agency” or “MPD”). On May 13, 2024, Agency issued a Notice of Adverse Action charging Employee with violation of General Order Series 120.21, Attachment A, Part A-11 (Conduct Unbecoming an Officer); Attachment A, Part A-1 (Alcohol: Off-Duty); Attachment A, Part A-6 (Conduct Constituting a Crime); Attachment A, Part A-16 (Failure to Obey Orders); Attachment A, Part A-5 (Untruthful Statements); and Attachment A, Part A-24 (Conduct Detrimental to Reputation and Good Order). The charges stemmed from a November 11, 2023, incident wherein Employee consumed alcohol at a restaurant and drove his department-issued police cruiser in the District of Columbia. According to Agency, Employee then interfered with a Driving Under the Influence (“DUI”) investigation involving his romantic parter; became argumentative with on-duty officers conducting the investigation; provided an untruthful statement to MPD officers; and actively resisted being placed in handcuffs. Employee was arrested for DUI and obstruction of justice as a result of his actions. </w:t>
      </w:r>
    </w:p>
    <w:p w14:paraId="100FF8F0" w14:textId="77777777" w:rsidR="00BE732C" w:rsidRPr="00A61A0C" w:rsidRDefault="00BE732C" w:rsidP="00BE732C">
      <w:pPr>
        <w:contextualSpacing/>
        <w:jc w:val="both"/>
        <w:rPr>
          <w:sz w:val="12"/>
          <w:szCs w:val="12"/>
        </w:rPr>
      </w:pPr>
    </w:p>
    <w:p w14:paraId="4FCDCDD4" w14:textId="77777777" w:rsidR="00BE732C" w:rsidRPr="00581EAF" w:rsidRDefault="00BE732C" w:rsidP="00BE732C">
      <w:pPr>
        <w:ind w:left="1620"/>
        <w:contextualSpacing/>
        <w:jc w:val="both"/>
        <w:rPr>
          <w:sz w:val="22"/>
          <w:szCs w:val="22"/>
        </w:rPr>
      </w:pPr>
      <w:r w:rsidRPr="00581EAF">
        <w:rPr>
          <w:sz w:val="22"/>
          <w:szCs w:val="22"/>
        </w:rPr>
        <w:t>On December 12, 2024, Agency held an Adverse Action Panel Hearing. The Panel found Employee guilty of all but two specifications. While the Panel determined that the remaining charges warranted suspensions ranging from five to thirty days, it concluded that the Conduct Constituting a Crime (Charge No. 3, Specification No. 1) warranted Employee’s termination. Employee appealed the Panel’s findings to the Chief of Police, which was denied on March 11, 2025. Accordingly, the effective date of his termination was March 12, 2025.</w:t>
      </w:r>
    </w:p>
    <w:p w14:paraId="255E1229" w14:textId="77777777" w:rsidR="00BE732C" w:rsidRPr="00A61A0C" w:rsidRDefault="00BE732C" w:rsidP="00BE732C">
      <w:pPr>
        <w:contextualSpacing/>
        <w:jc w:val="both"/>
        <w:rPr>
          <w:sz w:val="12"/>
          <w:szCs w:val="12"/>
        </w:rPr>
      </w:pPr>
    </w:p>
    <w:p w14:paraId="24EB8810" w14:textId="77777777" w:rsidR="00BE732C" w:rsidRPr="00581EAF" w:rsidRDefault="00BE732C" w:rsidP="00BE732C">
      <w:pPr>
        <w:ind w:left="1620"/>
        <w:contextualSpacing/>
        <w:jc w:val="both"/>
        <w:rPr>
          <w:sz w:val="22"/>
          <w:szCs w:val="22"/>
        </w:rPr>
      </w:pPr>
      <w:r w:rsidRPr="00581EAF">
        <w:rPr>
          <w:sz w:val="22"/>
          <w:szCs w:val="22"/>
        </w:rPr>
        <w:t xml:space="preserve">Employee filed a Petition for Appeal with the Office of Employee Appeals (“OEA”) on April 4, 2025. He argued that Agency’s termination action was arbitrary, unsupported by the facts, and not in accordance with the law or regulations. Employee further contended that Agency violated its General Orders, due process, the Table of Penalties, and misapplied the </w:t>
      </w:r>
      <w:r w:rsidRPr="00581EAF">
        <w:rPr>
          <w:i/>
          <w:iCs/>
          <w:sz w:val="22"/>
          <w:szCs w:val="22"/>
        </w:rPr>
        <w:t>Douglas</w:t>
      </w:r>
      <w:r w:rsidRPr="00581EAF">
        <w:rPr>
          <w:sz w:val="22"/>
          <w:szCs w:val="22"/>
        </w:rPr>
        <w:t xml:space="preserve"> factors. As a result, he opined that the adverse action was taken without cause. Therefore, Employee requested that OEA reverse the termination action; restore all lost pay and benefits; and award attorney’s fees and costs.</w:t>
      </w:r>
    </w:p>
    <w:p w14:paraId="7ACF8721" w14:textId="77777777" w:rsidR="00BE732C" w:rsidRPr="00A61A0C" w:rsidRDefault="00BE732C" w:rsidP="00BE732C">
      <w:pPr>
        <w:contextualSpacing/>
        <w:jc w:val="both"/>
        <w:rPr>
          <w:sz w:val="12"/>
          <w:szCs w:val="12"/>
        </w:rPr>
      </w:pPr>
    </w:p>
    <w:p w14:paraId="067FFB79" w14:textId="77777777" w:rsidR="00BE732C" w:rsidRPr="00581EAF" w:rsidRDefault="00BE732C" w:rsidP="00BE732C">
      <w:pPr>
        <w:ind w:left="1620"/>
        <w:contextualSpacing/>
        <w:jc w:val="both"/>
        <w:rPr>
          <w:sz w:val="22"/>
          <w:szCs w:val="22"/>
        </w:rPr>
      </w:pPr>
      <w:r w:rsidRPr="00581EAF">
        <w:rPr>
          <w:sz w:val="22"/>
          <w:szCs w:val="22"/>
        </w:rPr>
        <w:t xml:space="preserve">Agency filed its Answer on May 1, 2025. It asserted that Employee’s removal was conducted in accordance with all laws and the established policies and procedures of MPD. Further, it disagreed with Employee’s claim that his termination was not supported by substantial evidence. Consequently, Agency submitted that the termination action was </w:t>
      </w:r>
      <w:r w:rsidRPr="00581EAF">
        <w:rPr>
          <w:sz w:val="22"/>
          <w:szCs w:val="22"/>
        </w:rPr>
        <w:lastRenderedPageBreak/>
        <w:t xml:space="preserve">taken for cause and was reasonable considering the </w:t>
      </w:r>
      <w:r w:rsidRPr="00581EAF">
        <w:rPr>
          <w:i/>
          <w:iCs/>
          <w:sz w:val="22"/>
          <w:szCs w:val="22"/>
        </w:rPr>
        <w:t>Douglas</w:t>
      </w:r>
      <w:r w:rsidRPr="00581EAF">
        <w:rPr>
          <w:sz w:val="22"/>
          <w:szCs w:val="22"/>
        </w:rPr>
        <w:t xml:space="preserve"> factors.</w:t>
      </w:r>
    </w:p>
    <w:p w14:paraId="76DEF572" w14:textId="77777777" w:rsidR="00BE732C" w:rsidRPr="00A61A0C" w:rsidRDefault="00BE732C" w:rsidP="00BE732C">
      <w:pPr>
        <w:contextualSpacing/>
        <w:jc w:val="both"/>
        <w:rPr>
          <w:sz w:val="12"/>
          <w:szCs w:val="12"/>
        </w:rPr>
      </w:pPr>
    </w:p>
    <w:p w14:paraId="627B01DC" w14:textId="77777777" w:rsidR="00BE732C" w:rsidRPr="00581EAF" w:rsidRDefault="00BE732C" w:rsidP="00BE732C">
      <w:pPr>
        <w:ind w:left="1620"/>
        <w:contextualSpacing/>
        <w:jc w:val="both"/>
        <w:rPr>
          <w:sz w:val="22"/>
          <w:szCs w:val="22"/>
        </w:rPr>
      </w:pPr>
      <w:r w:rsidRPr="00581EAF">
        <w:rPr>
          <w:sz w:val="22"/>
          <w:szCs w:val="22"/>
        </w:rPr>
        <w:t xml:space="preserve">On May 5, 2025, the OEA Administrative Judge (“AJ”) issued an order notifying the parties that this matter was governed by the holding in </w:t>
      </w:r>
      <w:r w:rsidRPr="00581EAF">
        <w:rPr>
          <w:i/>
          <w:iCs/>
          <w:sz w:val="22"/>
          <w:szCs w:val="22"/>
        </w:rPr>
        <w:t>Pinkard v. D.C. Metropolitan Police Department</w:t>
      </w:r>
      <w:r w:rsidRPr="00581EAF">
        <w:rPr>
          <w:sz w:val="22"/>
          <w:szCs w:val="22"/>
        </w:rPr>
        <w:t>, 801 A.2d 86 (D.C. 2002). Therefore, the parties were ordered to submit briefs addressing whether the Employee’s removal was supported by substantial evidence; whether there was harmful procedural error; and whether the termination action was taken in accordance with all applicable laws and regulations. Both parties submitted responses to the order.</w:t>
      </w:r>
    </w:p>
    <w:p w14:paraId="2403410C" w14:textId="77777777" w:rsidR="00BE732C" w:rsidRPr="00A61A0C" w:rsidRDefault="00BE732C" w:rsidP="00BE732C">
      <w:pPr>
        <w:contextualSpacing/>
        <w:jc w:val="both"/>
        <w:rPr>
          <w:sz w:val="12"/>
          <w:szCs w:val="12"/>
        </w:rPr>
      </w:pPr>
    </w:p>
    <w:p w14:paraId="2BE320F5" w14:textId="77777777" w:rsidR="00BE732C" w:rsidRPr="00581EAF" w:rsidRDefault="00BE732C" w:rsidP="00BE732C">
      <w:pPr>
        <w:ind w:left="1620"/>
        <w:contextualSpacing/>
        <w:jc w:val="both"/>
        <w:rPr>
          <w:sz w:val="22"/>
          <w:szCs w:val="22"/>
        </w:rPr>
      </w:pPr>
      <w:r w:rsidRPr="00581EAF">
        <w:rPr>
          <w:sz w:val="22"/>
          <w:szCs w:val="22"/>
        </w:rPr>
        <w:t xml:space="preserve">As it related to Charge No. 3, Agency argued that Employee did not dispute that he engaged in conduct constituting a crime because he entered a guilty plea to DUI in the Superior Court for the District of Columbia on January 9, 2024. It contended that the remining charges were supported by the record as evidenced by Employee’s guilty plea to most of the charges before the Panel. Agency maintained that Employee was afforded due process in accordance with D.C. Code § 5-133.06. It also reasoned that termination was appropriate under the </w:t>
      </w:r>
      <w:r w:rsidRPr="00581EAF">
        <w:rPr>
          <w:i/>
          <w:iCs/>
          <w:sz w:val="22"/>
          <w:szCs w:val="22"/>
        </w:rPr>
        <w:t>Douglas</w:t>
      </w:r>
      <w:r w:rsidRPr="00581EAF">
        <w:rPr>
          <w:sz w:val="22"/>
          <w:szCs w:val="22"/>
        </w:rPr>
        <w:t xml:space="preserve"> factors, which highlighted several aggravating elements of the case. Finally, it opined that Employee failed to establish a prima facie claim of disparate treatment. Therefore, Agency asked that OEA uphold its termination action.</w:t>
      </w:r>
    </w:p>
    <w:p w14:paraId="4374284D" w14:textId="77777777" w:rsidR="00BE732C" w:rsidRPr="00A57079" w:rsidRDefault="00BE732C" w:rsidP="00BE732C">
      <w:pPr>
        <w:contextualSpacing/>
        <w:jc w:val="both"/>
        <w:rPr>
          <w:sz w:val="12"/>
          <w:szCs w:val="12"/>
        </w:rPr>
      </w:pPr>
    </w:p>
    <w:p w14:paraId="5A3AEEE2" w14:textId="77777777" w:rsidR="00BE732C" w:rsidRPr="00581EAF" w:rsidRDefault="00BE732C" w:rsidP="00BE732C">
      <w:pPr>
        <w:ind w:left="1620"/>
        <w:contextualSpacing/>
        <w:jc w:val="both"/>
        <w:rPr>
          <w:sz w:val="22"/>
          <w:szCs w:val="22"/>
        </w:rPr>
      </w:pPr>
      <w:r w:rsidRPr="00581EAF">
        <w:rPr>
          <w:sz w:val="22"/>
          <w:szCs w:val="22"/>
        </w:rPr>
        <w:t xml:space="preserve">Employee’s brief contended that termination for Charge No. 3 was not an appropriate penalty because he expressed regret regarding driving under the influence; voluntarily received counseling for alcohol use; and his DUI charge was dismissed with prejudice after it was converted to a disposition of </w:t>
      </w:r>
      <w:r w:rsidRPr="00581EAF">
        <w:rPr>
          <w:i/>
          <w:iCs/>
          <w:sz w:val="22"/>
          <w:szCs w:val="22"/>
        </w:rPr>
        <w:t>nolle-diversion</w:t>
      </w:r>
      <w:r w:rsidRPr="00581EAF">
        <w:rPr>
          <w:sz w:val="22"/>
          <w:szCs w:val="22"/>
        </w:rPr>
        <w:t xml:space="preserve">. According to Employee, termination for receiving a DUI was disproportionately severe when compared to prior punishments imposed on similarly situated MPD employees. Lastly, he argued that Agency failed to properly analyze and weigh the </w:t>
      </w:r>
      <w:r w:rsidRPr="00581EAF">
        <w:rPr>
          <w:i/>
          <w:iCs/>
          <w:sz w:val="22"/>
          <w:szCs w:val="22"/>
        </w:rPr>
        <w:t>Douglas</w:t>
      </w:r>
      <w:r w:rsidRPr="00581EAF">
        <w:rPr>
          <w:sz w:val="22"/>
          <w:szCs w:val="22"/>
        </w:rPr>
        <w:t xml:space="preserve"> factors. Consequently, Employee requested that his removal be reversed.</w:t>
      </w:r>
    </w:p>
    <w:p w14:paraId="21EB36EF" w14:textId="77777777" w:rsidR="00BE732C" w:rsidRPr="00A57079" w:rsidRDefault="00BE732C" w:rsidP="00BE732C">
      <w:pPr>
        <w:contextualSpacing/>
        <w:jc w:val="both"/>
        <w:rPr>
          <w:sz w:val="12"/>
          <w:szCs w:val="12"/>
        </w:rPr>
      </w:pPr>
    </w:p>
    <w:p w14:paraId="57A738B4" w14:textId="77777777" w:rsidR="00BE732C" w:rsidRPr="00581EAF" w:rsidRDefault="00BE732C" w:rsidP="00BE732C">
      <w:pPr>
        <w:ind w:left="1620"/>
        <w:contextualSpacing/>
        <w:jc w:val="both"/>
        <w:rPr>
          <w:sz w:val="22"/>
          <w:szCs w:val="22"/>
        </w:rPr>
      </w:pPr>
      <w:r w:rsidRPr="00581EAF">
        <w:rPr>
          <w:sz w:val="22"/>
          <w:szCs w:val="22"/>
        </w:rPr>
        <w:t>The AJ issued an Initial Decision on November 12, 2025. As it related to cause, she held that Agency met its burden of proof with respect to Conduct Unbecoming an Officer, Alcohol: Off-Duty, Conduct Constituting a Crime, Failure to Obey Orders, and Conduct Detrimental to Reputation and Good Order (Charges Nos. 1, 2, 3, 4, and 6) because Employee pleaded guilty to these charges before the Panel. However, the AJ determined that Agency did not meet its burden of proof for Charge No. 5 (Untruthful Statements) because Employee was not on the scene in his official capacity as an MPD officer on November 11, 2023, and because he was not carrying out his official duties. As a result, Charge No. 5 was reversed.</w:t>
      </w:r>
    </w:p>
    <w:p w14:paraId="45372EFA" w14:textId="77777777" w:rsidR="00BE732C" w:rsidRPr="00A57079" w:rsidRDefault="00BE732C" w:rsidP="00BE732C">
      <w:pPr>
        <w:contextualSpacing/>
        <w:jc w:val="both"/>
        <w:rPr>
          <w:sz w:val="12"/>
          <w:szCs w:val="12"/>
        </w:rPr>
      </w:pPr>
    </w:p>
    <w:p w14:paraId="711201A3" w14:textId="77777777" w:rsidR="00BE732C" w:rsidRPr="00581EAF" w:rsidRDefault="00BE732C" w:rsidP="00BE732C">
      <w:pPr>
        <w:ind w:left="1620"/>
        <w:contextualSpacing/>
        <w:jc w:val="both"/>
        <w:rPr>
          <w:sz w:val="22"/>
          <w:szCs w:val="22"/>
        </w:rPr>
      </w:pPr>
      <w:r w:rsidRPr="00581EAF">
        <w:rPr>
          <w:sz w:val="22"/>
          <w:szCs w:val="22"/>
        </w:rPr>
        <w:t xml:space="preserve">While the AJ held that Employee admitted to the Conduct Constituting a Crime charge, she concluded that termination was not the appropriate penalty under the circumstances. According to her, Employee’s termination constituted disparate treatment because one of the disciplinary cases cited by Employee involved a </w:t>
      </w:r>
      <w:proofErr w:type="gramStart"/>
      <w:r w:rsidRPr="00581EAF">
        <w:rPr>
          <w:sz w:val="22"/>
          <w:szCs w:val="22"/>
        </w:rPr>
        <w:t>similarly-situated</w:t>
      </w:r>
      <w:proofErr w:type="gramEnd"/>
      <w:r w:rsidRPr="00581EAF">
        <w:rPr>
          <w:sz w:val="22"/>
          <w:szCs w:val="22"/>
        </w:rPr>
        <w:t xml:space="preserve"> police officer who was disciplined for an alcohol-related charge in the State of Virginia. The AJ noted that the comparator employee (DRD # 095-23) only received a thirty-five-day suspension, whereas Employee was terminated. She further reasoned that the penalty constituted an abuse of discretion because the Panel’s conclusion that termination was the only effective sanction and deterrent, was unconvincing. Therefore, the AJ reversed and reduced the penalty for Charge No. 3 from termination to a thirty-five-day suspension.</w:t>
      </w:r>
    </w:p>
    <w:p w14:paraId="5AD5BBBB" w14:textId="77777777" w:rsidR="00BE732C" w:rsidRPr="00A57079" w:rsidRDefault="00BE732C" w:rsidP="00BE732C">
      <w:pPr>
        <w:contextualSpacing/>
        <w:jc w:val="both"/>
        <w:rPr>
          <w:sz w:val="12"/>
          <w:szCs w:val="12"/>
        </w:rPr>
      </w:pPr>
    </w:p>
    <w:p w14:paraId="548FD5F7" w14:textId="77777777" w:rsidR="00BE732C" w:rsidRPr="00581EAF" w:rsidRDefault="00BE732C" w:rsidP="00BE732C">
      <w:pPr>
        <w:ind w:left="1620"/>
        <w:contextualSpacing/>
        <w:jc w:val="both"/>
        <w:rPr>
          <w:sz w:val="22"/>
          <w:szCs w:val="22"/>
        </w:rPr>
      </w:pPr>
      <w:r w:rsidRPr="00581EAF">
        <w:rPr>
          <w:sz w:val="22"/>
          <w:szCs w:val="22"/>
        </w:rPr>
        <w:t xml:space="preserve">Agency filed a Petition for Review with the OEA Board on December 16, 2025. It argues </w:t>
      </w:r>
      <w:r w:rsidRPr="00581EAF">
        <w:rPr>
          <w:sz w:val="22"/>
          <w:szCs w:val="22"/>
        </w:rPr>
        <w:lastRenderedPageBreak/>
        <w:t xml:space="preserve">that the AJ’s rulings regarding Charge No. 3 are unsupported by substantial evidence because the penalty was reduced based on an analysis that misapplied each element of disparate treatment. Alternatively, it suggests that even if officer DRD # 095-23 was similarly situated, the AJ erred by disregarding its legitimate reason for terminating Employee. Agency further opines that the AJ impermissibly rebalanced the </w:t>
      </w:r>
      <w:r w:rsidRPr="00581EAF">
        <w:rPr>
          <w:i/>
          <w:iCs/>
          <w:sz w:val="22"/>
          <w:szCs w:val="22"/>
        </w:rPr>
        <w:t>Douglas</w:t>
      </w:r>
      <w:r w:rsidRPr="00581EAF">
        <w:rPr>
          <w:sz w:val="22"/>
          <w:szCs w:val="22"/>
        </w:rPr>
        <w:t xml:space="preserve"> factors and substituted her judgment in contravention of well-established OEA precedent. It maintains that proper managerial discretion was exercised in selecting the appropriate penalty. Thus, Agency asks that the Board reverse the Initial Decision and uphold Employee’s termination.</w:t>
      </w:r>
    </w:p>
    <w:p w14:paraId="2D104730" w14:textId="77777777" w:rsidR="00BE732C" w:rsidRPr="00A57079" w:rsidRDefault="00BE732C" w:rsidP="00BE732C">
      <w:pPr>
        <w:contextualSpacing/>
        <w:jc w:val="both"/>
        <w:rPr>
          <w:sz w:val="12"/>
          <w:szCs w:val="12"/>
        </w:rPr>
      </w:pPr>
    </w:p>
    <w:p w14:paraId="6487C9D6" w14:textId="77777777" w:rsidR="00BE732C" w:rsidRPr="00581EAF" w:rsidRDefault="00BE732C" w:rsidP="00BE732C">
      <w:pPr>
        <w:ind w:left="1620"/>
        <w:contextualSpacing/>
        <w:jc w:val="both"/>
        <w:rPr>
          <w:sz w:val="22"/>
          <w:szCs w:val="22"/>
        </w:rPr>
      </w:pPr>
      <w:r w:rsidRPr="00581EAF">
        <w:rPr>
          <w:sz w:val="22"/>
          <w:szCs w:val="22"/>
        </w:rPr>
        <w:t>In response, Employee contends that the AJ’s application of the disparate treatment factors is supported by the record. He avers that the AJ acted in accordance with the law in finding that termination exceeded the tolerable limits of reasonableness. As such, Employee believes that a thirty-five-day suspension is appropriate in this case. Consequently, he requests that the Board deny Agency’s petition.</w:t>
      </w:r>
    </w:p>
    <w:p w14:paraId="160FA439" w14:textId="77777777" w:rsidR="00D57B5D" w:rsidRPr="000D72D5" w:rsidRDefault="00D57B5D" w:rsidP="00D57B5D">
      <w:pPr>
        <w:ind w:left="1260"/>
        <w:jc w:val="both"/>
        <w:rPr>
          <w:sz w:val="12"/>
          <w:szCs w:val="12"/>
        </w:rPr>
      </w:pPr>
    </w:p>
    <w:p w14:paraId="711BCDC2" w14:textId="77777777" w:rsidR="00D57B5D" w:rsidRPr="00F61428" w:rsidRDefault="00D57B5D" w:rsidP="00D57B5D">
      <w:pPr>
        <w:widowControl/>
        <w:numPr>
          <w:ilvl w:val="1"/>
          <w:numId w:val="1"/>
        </w:numPr>
        <w:tabs>
          <w:tab w:val="clear" w:pos="1440"/>
        </w:tabs>
        <w:ind w:left="-90" w:firstLine="360"/>
        <w:contextualSpacing/>
        <w:jc w:val="both"/>
        <w:rPr>
          <w:rFonts w:eastAsia="SimSun"/>
          <w:b/>
          <w:sz w:val="22"/>
          <w:szCs w:val="22"/>
          <w:lang w:eastAsia="zh-CN"/>
        </w:rPr>
      </w:pPr>
      <w:r w:rsidRPr="00F61428">
        <w:rPr>
          <w:rFonts w:eastAsia="SimSun"/>
          <w:b/>
          <w:sz w:val="22"/>
          <w:szCs w:val="22"/>
          <w:lang w:eastAsia="zh-CN"/>
        </w:rPr>
        <w:t xml:space="preserve">Deliberations </w:t>
      </w:r>
      <w:r w:rsidRPr="00F61428">
        <w:rPr>
          <w:rFonts w:eastAsia="SimSun"/>
          <w:sz w:val="22"/>
          <w:szCs w:val="22"/>
          <w:lang w:eastAsia="zh-CN"/>
        </w:rPr>
        <w:t xml:space="preserve">– This portion of the meeting will be closed to the public for deliberations </w:t>
      </w:r>
    </w:p>
    <w:p w14:paraId="52B18E60" w14:textId="77777777" w:rsidR="00D57B5D" w:rsidRDefault="00D57B5D" w:rsidP="00D57B5D">
      <w:pPr>
        <w:ind w:left="270" w:firstLine="450"/>
        <w:contextualSpacing/>
        <w:jc w:val="both"/>
        <w:rPr>
          <w:rFonts w:eastAsia="SimSun"/>
          <w:b/>
          <w:sz w:val="22"/>
          <w:szCs w:val="22"/>
          <w:lang w:eastAsia="zh-CN"/>
        </w:rPr>
      </w:pPr>
      <w:r w:rsidRPr="00F61428">
        <w:rPr>
          <w:rFonts w:eastAsia="SimSun"/>
          <w:sz w:val="22"/>
          <w:szCs w:val="22"/>
          <w:lang w:eastAsia="zh-CN"/>
        </w:rPr>
        <w:t xml:space="preserve">in accordance with D.C. Code § 2-575(b)(13).  </w:t>
      </w:r>
    </w:p>
    <w:p w14:paraId="00AFDF4E" w14:textId="77777777" w:rsidR="00D57B5D" w:rsidRPr="003945A9" w:rsidRDefault="00D57B5D" w:rsidP="00D57B5D">
      <w:pPr>
        <w:ind w:left="270" w:firstLine="450"/>
        <w:contextualSpacing/>
        <w:jc w:val="both"/>
        <w:rPr>
          <w:rFonts w:eastAsia="SimSun"/>
          <w:b/>
          <w:sz w:val="12"/>
          <w:szCs w:val="12"/>
          <w:lang w:eastAsia="zh-CN"/>
        </w:rPr>
      </w:pPr>
      <w:r w:rsidRPr="00F61428">
        <w:rPr>
          <w:rFonts w:eastAsia="SimSun"/>
          <w:sz w:val="22"/>
          <w:szCs w:val="22"/>
          <w:lang w:eastAsia="zh-CN"/>
        </w:rPr>
        <w:t xml:space="preserve">         </w:t>
      </w:r>
    </w:p>
    <w:p w14:paraId="7616726C" w14:textId="77777777" w:rsidR="00D57B5D" w:rsidRPr="00F61428" w:rsidRDefault="00D57B5D" w:rsidP="00D57B5D">
      <w:pPr>
        <w:widowControl/>
        <w:numPr>
          <w:ilvl w:val="1"/>
          <w:numId w:val="1"/>
        </w:numPr>
        <w:tabs>
          <w:tab w:val="clear" w:pos="1440"/>
          <w:tab w:val="num" w:pos="720"/>
        </w:tabs>
        <w:ind w:left="1170" w:hanging="900"/>
        <w:contextualSpacing/>
        <w:jc w:val="both"/>
        <w:rPr>
          <w:rFonts w:eastAsia="SimSun"/>
          <w:b/>
          <w:sz w:val="22"/>
          <w:szCs w:val="22"/>
          <w:lang w:eastAsia="zh-CN"/>
        </w:rPr>
      </w:pPr>
      <w:r w:rsidRPr="00F61428">
        <w:rPr>
          <w:rFonts w:eastAsia="SimSun"/>
          <w:b/>
          <w:sz w:val="22"/>
          <w:szCs w:val="22"/>
          <w:lang w:eastAsia="zh-CN"/>
        </w:rPr>
        <w:t>Open Portion Resumes</w:t>
      </w:r>
    </w:p>
    <w:p w14:paraId="56309730" w14:textId="77777777" w:rsidR="00D57B5D" w:rsidRPr="00F61428" w:rsidRDefault="00D57B5D" w:rsidP="00D57B5D">
      <w:pPr>
        <w:tabs>
          <w:tab w:val="num" w:pos="1080"/>
        </w:tabs>
        <w:ind w:left="1440" w:hanging="450"/>
        <w:contextualSpacing/>
        <w:jc w:val="both"/>
        <w:rPr>
          <w:rFonts w:eastAsia="SimSun"/>
          <w:b/>
          <w:sz w:val="12"/>
          <w:szCs w:val="12"/>
          <w:lang w:eastAsia="zh-CN"/>
        </w:rPr>
      </w:pPr>
    </w:p>
    <w:p w14:paraId="2124FEDB" w14:textId="77777777" w:rsidR="00D57B5D" w:rsidRPr="00F61428" w:rsidRDefault="00D57B5D" w:rsidP="00D57B5D">
      <w:pPr>
        <w:widowControl/>
        <w:numPr>
          <w:ilvl w:val="1"/>
          <w:numId w:val="1"/>
        </w:numPr>
        <w:tabs>
          <w:tab w:val="clear" w:pos="1440"/>
          <w:tab w:val="num" w:pos="990"/>
        </w:tabs>
        <w:ind w:left="720" w:hanging="450"/>
        <w:contextualSpacing/>
        <w:jc w:val="both"/>
        <w:rPr>
          <w:rFonts w:eastAsia="SimSun"/>
          <w:b/>
          <w:sz w:val="22"/>
          <w:szCs w:val="22"/>
          <w:lang w:eastAsia="zh-CN"/>
        </w:rPr>
      </w:pPr>
      <w:r w:rsidRPr="00F61428">
        <w:rPr>
          <w:rFonts w:eastAsia="SimSun"/>
          <w:b/>
          <w:sz w:val="22"/>
          <w:szCs w:val="22"/>
          <w:lang w:eastAsia="zh-CN"/>
        </w:rPr>
        <w:t>Final Votes on Cases</w:t>
      </w:r>
    </w:p>
    <w:p w14:paraId="2351D90C" w14:textId="77777777" w:rsidR="00D57B5D" w:rsidRPr="00F61428" w:rsidRDefault="00D57B5D" w:rsidP="00D57B5D">
      <w:pPr>
        <w:ind w:left="720" w:hanging="450"/>
        <w:contextualSpacing/>
        <w:rPr>
          <w:rFonts w:eastAsia="SimSun"/>
          <w:b/>
          <w:sz w:val="12"/>
          <w:szCs w:val="12"/>
          <w:lang w:eastAsia="zh-CN"/>
        </w:rPr>
      </w:pPr>
    </w:p>
    <w:p w14:paraId="160071C3" w14:textId="77777777" w:rsidR="00D57B5D" w:rsidRPr="00F61428" w:rsidRDefault="00D57B5D" w:rsidP="00D57B5D">
      <w:pPr>
        <w:widowControl/>
        <w:numPr>
          <w:ilvl w:val="1"/>
          <w:numId w:val="1"/>
        </w:numPr>
        <w:tabs>
          <w:tab w:val="clear" w:pos="1440"/>
          <w:tab w:val="left" w:pos="720"/>
          <w:tab w:val="num" w:pos="990"/>
        </w:tabs>
        <w:ind w:hanging="1170"/>
        <w:contextualSpacing/>
        <w:jc w:val="both"/>
        <w:rPr>
          <w:rFonts w:eastAsia="SimSun"/>
          <w:b/>
          <w:sz w:val="22"/>
          <w:szCs w:val="22"/>
          <w:lang w:eastAsia="zh-CN"/>
        </w:rPr>
      </w:pPr>
      <w:r w:rsidRPr="00F61428">
        <w:rPr>
          <w:rFonts w:eastAsia="SimSun"/>
          <w:b/>
          <w:sz w:val="22"/>
          <w:szCs w:val="22"/>
          <w:lang w:eastAsia="zh-CN"/>
        </w:rPr>
        <w:t>Public Comments</w:t>
      </w:r>
    </w:p>
    <w:p w14:paraId="2A18F57F" w14:textId="77777777" w:rsidR="00D57B5D" w:rsidRPr="00F61428" w:rsidRDefault="00D57B5D" w:rsidP="00D57B5D">
      <w:pPr>
        <w:tabs>
          <w:tab w:val="left" w:pos="720"/>
        </w:tabs>
        <w:contextualSpacing/>
        <w:jc w:val="both"/>
        <w:rPr>
          <w:rFonts w:eastAsia="SimSun"/>
          <w:b/>
          <w:sz w:val="12"/>
          <w:szCs w:val="12"/>
          <w:lang w:eastAsia="zh-CN"/>
        </w:rPr>
      </w:pPr>
    </w:p>
    <w:p w14:paraId="1A8ED0B2" w14:textId="77777777" w:rsidR="00D57B5D" w:rsidRPr="003945A9" w:rsidRDefault="00D57B5D" w:rsidP="00D57B5D">
      <w:pPr>
        <w:widowControl/>
        <w:numPr>
          <w:ilvl w:val="0"/>
          <w:numId w:val="1"/>
        </w:numPr>
        <w:tabs>
          <w:tab w:val="left" w:pos="720"/>
        </w:tabs>
        <w:ind w:left="540" w:hanging="540"/>
        <w:contextualSpacing/>
        <w:jc w:val="both"/>
        <w:rPr>
          <w:rFonts w:eastAsia="SimSun"/>
          <w:b/>
          <w:sz w:val="22"/>
          <w:szCs w:val="22"/>
          <w:lang w:eastAsia="zh-CN"/>
        </w:rPr>
      </w:pPr>
      <w:r w:rsidRPr="00F61428">
        <w:rPr>
          <w:rFonts w:eastAsia="SimSun"/>
          <w:b/>
          <w:sz w:val="22"/>
          <w:szCs w:val="22"/>
          <w:lang w:eastAsia="zh-CN"/>
        </w:rPr>
        <w:t xml:space="preserve">Adjournment </w:t>
      </w:r>
    </w:p>
    <w:p w14:paraId="73E9020B" w14:textId="77777777" w:rsidR="00D57B5D" w:rsidRDefault="00D57B5D" w:rsidP="00D57B5D">
      <w:pPr>
        <w:tabs>
          <w:tab w:val="left" w:pos="720"/>
        </w:tabs>
        <w:contextualSpacing/>
        <w:jc w:val="both"/>
        <w:rPr>
          <w:rFonts w:eastAsia="SimSun"/>
          <w:bCs/>
          <w:sz w:val="22"/>
          <w:szCs w:val="22"/>
          <w:lang w:eastAsia="zh-CN"/>
        </w:rPr>
      </w:pPr>
    </w:p>
    <w:p w14:paraId="4D0067D7" w14:textId="77777777" w:rsidR="00D57B5D" w:rsidRPr="003945A9" w:rsidRDefault="00D57B5D" w:rsidP="00D57B5D">
      <w:pPr>
        <w:tabs>
          <w:tab w:val="left" w:pos="720"/>
        </w:tabs>
        <w:contextualSpacing/>
        <w:jc w:val="both"/>
        <w:rPr>
          <w:rFonts w:eastAsia="SimSun"/>
          <w:b/>
          <w:sz w:val="22"/>
          <w:szCs w:val="22"/>
          <w:lang w:eastAsia="zh-CN"/>
        </w:rPr>
      </w:pPr>
      <w:r w:rsidRPr="00F61428">
        <w:rPr>
          <w:rFonts w:eastAsia="SimSun"/>
          <w:bCs/>
          <w:sz w:val="22"/>
          <w:szCs w:val="22"/>
          <w:lang w:eastAsia="zh-CN"/>
        </w:rPr>
        <w:t xml:space="preserve">“This meeting is governed by the Open Meetings Act.  Please address any questions or complaints arising under this meeting to the Office of Open Government at </w:t>
      </w:r>
      <w:hyperlink r:id="rId7" w:history="1">
        <w:r w:rsidRPr="00F61428">
          <w:rPr>
            <w:rStyle w:val="Hyperlink"/>
            <w:rFonts w:eastAsia="SimSun"/>
            <w:bCs/>
            <w:sz w:val="22"/>
            <w:szCs w:val="22"/>
            <w:lang w:eastAsia="zh-CN"/>
          </w:rPr>
          <w:t>opengovoffice@dc.gov</w:t>
        </w:r>
      </w:hyperlink>
      <w:r w:rsidRPr="00F61428">
        <w:rPr>
          <w:rFonts w:eastAsia="SimSun"/>
          <w:bCs/>
          <w:sz w:val="22"/>
          <w:szCs w:val="22"/>
          <w:lang w:eastAsia="zh-CN"/>
        </w:rPr>
        <w:t>.”</w:t>
      </w:r>
    </w:p>
    <w:p w14:paraId="239C8916" w14:textId="77777777" w:rsidR="00D57B5D" w:rsidRPr="00CB2B33" w:rsidRDefault="00D57B5D" w:rsidP="00D57B5D">
      <w:pPr>
        <w:rPr>
          <w:sz w:val="22"/>
          <w:szCs w:val="22"/>
        </w:rPr>
      </w:pPr>
    </w:p>
    <w:p w14:paraId="041930E0" w14:textId="77777777" w:rsidR="00D57B5D" w:rsidRDefault="00D57B5D" w:rsidP="00D57B5D"/>
    <w:sectPr w:rsidR="00D57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1C"/>
    <w:multiLevelType w:val="hybridMultilevel"/>
    <w:tmpl w:val="7DD86578"/>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1496FC8C">
      <w:start w:val="1"/>
      <w:numFmt w:val="decimal"/>
      <w:lvlText w:val="%3."/>
      <w:lvlJc w:val="left"/>
      <w:pPr>
        <w:tabs>
          <w:tab w:val="num" w:pos="1620"/>
        </w:tabs>
        <w:ind w:left="1620" w:hanging="360"/>
      </w:pPr>
      <w:rPr>
        <w:b/>
        <w:bCs w:val="0"/>
        <w:color w:val="auto"/>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965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5D"/>
    <w:rsid w:val="000A793D"/>
    <w:rsid w:val="0018330A"/>
    <w:rsid w:val="00185B8C"/>
    <w:rsid w:val="001E1170"/>
    <w:rsid w:val="00222761"/>
    <w:rsid w:val="0023793A"/>
    <w:rsid w:val="002617FA"/>
    <w:rsid w:val="00317EB3"/>
    <w:rsid w:val="00346397"/>
    <w:rsid w:val="00607F42"/>
    <w:rsid w:val="006E3D15"/>
    <w:rsid w:val="00773C7D"/>
    <w:rsid w:val="00787C58"/>
    <w:rsid w:val="007A2411"/>
    <w:rsid w:val="008E7EA7"/>
    <w:rsid w:val="00A57079"/>
    <w:rsid w:val="00A61A0C"/>
    <w:rsid w:val="00B42E0D"/>
    <w:rsid w:val="00B500D0"/>
    <w:rsid w:val="00BE732C"/>
    <w:rsid w:val="00C86389"/>
    <w:rsid w:val="00CB16D4"/>
    <w:rsid w:val="00D57B5D"/>
    <w:rsid w:val="00D6373D"/>
    <w:rsid w:val="00D75183"/>
    <w:rsid w:val="00D87F65"/>
    <w:rsid w:val="00F0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10E7"/>
  <w15:chartTrackingRefBased/>
  <w15:docId w15:val="{19691713-C289-442D-80E9-F4C7D0ED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5D"/>
    <w:pPr>
      <w:widowControl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D57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5D"/>
    <w:rPr>
      <w:rFonts w:eastAsiaTheme="majorEastAsia" w:cstheme="majorBidi"/>
      <w:color w:val="272727" w:themeColor="text1" w:themeTint="D8"/>
    </w:rPr>
  </w:style>
  <w:style w:type="paragraph" w:styleId="Title">
    <w:name w:val="Title"/>
    <w:basedOn w:val="Normal"/>
    <w:next w:val="Normal"/>
    <w:link w:val="TitleChar"/>
    <w:uiPriority w:val="10"/>
    <w:qFormat/>
    <w:rsid w:val="00D57B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5D"/>
    <w:pPr>
      <w:spacing w:before="160"/>
      <w:jc w:val="center"/>
    </w:pPr>
    <w:rPr>
      <w:i/>
      <w:iCs/>
      <w:color w:val="404040" w:themeColor="text1" w:themeTint="BF"/>
    </w:rPr>
  </w:style>
  <w:style w:type="character" w:customStyle="1" w:styleId="QuoteChar">
    <w:name w:val="Quote Char"/>
    <w:basedOn w:val="DefaultParagraphFont"/>
    <w:link w:val="Quote"/>
    <w:uiPriority w:val="29"/>
    <w:rsid w:val="00D57B5D"/>
    <w:rPr>
      <w:i/>
      <w:iCs/>
      <w:color w:val="404040" w:themeColor="text1" w:themeTint="BF"/>
    </w:rPr>
  </w:style>
  <w:style w:type="paragraph" w:styleId="ListParagraph">
    <w:name w:val="List Paragraph"/>
    <w:basedOn w:val="Normal"/>
    <w:uiPriority w:val="34"/>
    <w:qFormat/>
    <w:rsid w:val="00D57B5D"/>
    <w:pPr>
      <w:ind w:left="720"/>
      <w:contextualSpacing/>
    </w:pPr>
  </w:style>
  <w:style w:type="character" w:styleId="IntenseEmphasis">
    <w:name w:val="Intense Emphasis"/>
    <w:basedOn w:val="DefaultParagraphFont"/>
    <w:uiPriority w:val="21"/>
    <w:qFormat/>
    <w:rsid w:val="00D57B5D"/>
    <w:rPr>
      <w:i/>
      <w:iCs/>
      <w:color w:val="0F4761" w:themeColor="accent1" w:themeShade="BF"/>
    </w:rPr>
  </w:style>
  <w:style w:type="paragraph" w:styleId="IntenseQuote">
    <w:name w:val="Intense Quote"/>
    <w:basedOn w:val="Normal"/>
    <w:next w:val="Normal"/>
    <w:link w:val="IntenseQuoteChar"/>
    <w:uiPriority w:val="30"/>
    <w:qFormat/>
    <w:rsid w:val="00D57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5D"/>
    <w:rPr>
      <w:i/>
      <w:iCs/>
      <w:color w:val="0F4761" w:themeColor="accent1" w:themeShade="BF"/>
    </w:rPr>
  </w:style>
  <w:style w:type="character" w:styleId="IntenseReference">
    <w:name w:val="Intense Reference"/>
    <w:basedOn w:val="DefaultParagraphFont"/>
    <w:uiPriority w:val="32"/>
    <w:qFormat/>
    <w:rsid w:val="00D57B5D"/>
    <w:rPr>
      <w:b/>
      <w:bCs/>
      <w:smallCaps/>
      <w:color w:val="0F4761" w:themeColor="accent1" w:themeShade="BF"/>
      <w:spacing w:val="5"/>
    </w:rPr>
  </w:style>
  <w:style w:type="character" w:styleId="Hyperlink">
    <w:name w:val="Hyperlink"/>
    <w:basedOn w:val="DefaultParagraphFont"/>
    <w:uiPriority w:val="99"/>
    <w:unhideWhenUsed/>
    <w:rsid w:val="00D57B5D"/>
    <w:rPr>
      <w:color w:val="467886" w:themeColor="hyperlink"/>
      <w:u w:val="single"/>
    </w:rPr>
  </w:style>
  <w:style w:type="paragraph" w:styleId="NoSpacing">
    <w:name w:val="No Spacing"/>
    <w:uiPriority w:val="1"/>
    <w:qFormat/>
    <w:rsid w:val="00B42E0D"/>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D6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engovoffice@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nter.clarke@dc.gov" TargetMode="External"/><Relationship Id="rId5" Type="http://schemas.openxmlformats.org/officeDocument/2006/relationships/hyperlink" Target="https://dcnet.webex.com/dcnet/j.php?MTID=m567aeccef8b96672b240eec6969837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2963</Words>
  <Characters>16155</Characters>
  <Application>Microsoft Office Word</Application>
  <DocSecurity>4</DocSecurity>
  <Lines>301</Lines>
  <Paragraphs>54</Paragraphs>
  <ScaleCrop>false</ScaleCrop>
  <Company>DC Government</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2</cp:revision>
  <dcterms:created xsi:type="dcterms:W3CDTF">2026-04-14T15:43:00Z</dcterms:created>
  <dcterms:modified xsi:type="dcterms:W3CDTF">2026-04-14T15:43:00Z</dcterms:modified>
</cp:coreProperties>
</file>