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32C9A" w14:textId="77777777" w:rsidR="006E7BBB" w:rsidRPr="00746ED9" w:rsidRDefault="006E7BBB" w:rsidP="006E7BBB">
      <w:pPr>
        <w:jc w:val="center"/>
        <w:rPr>
          <w:b/>
          <w:bCs/>
          <w:color w:val="000000" w:themeColor="text1"/>
          <w:sz w:val="22"/>
          <w:szCs w:val="22"/>
          <w:lang w:eastAsia="zh-CN"/>
        </w:rPr>
      </w:pPr>
      <w:r w:rsidRPr="00746ED9">
        <w:rPr>
          <w:b/>
          <w:bCs/>
          <w:color w:val="000000" w:themeColor="text1"/>
          <w:sz w:val="22"/>
          <w:szCs w:val="22"/>
          <w:lang w:eastAsia="zh-CN"/>
        </w:rPr>
        <w:t>DISTRICT OF COLUMBIA</w:t>
      </w:r>
    </w:p>
    <w:p w14:paraId="39D310E6" w14:textId="77777777" w:rsidR="006E7BBB" w:rsidRPr="00746ED9" w:rsidRDefault="006E7BBB" w:rsidP="006E7BBB">
      <w:pPr>
        <w:jc w:val="center"/>
        <w:rPr>
          <w:b/>
          <w:bCs/>
          <w:color w:val="000000" w:themeColor="text1"/>
          <w:sz w:val="22"/>
          <w:szCs w:val="22"/>
          <w:lang w:eastAsia="zh-CN"/>
        </w:rPr>
      </w:pPr>
      <w:r w:rsidRPr="00746ED9">
        <w:rPr>
          <w:b/>
          <w:bCs/>
          <w:color w:val="000000" w:themeColor="text1"/>
          <w:sz w:val="22"/>
          <w:szCs w:val="22"/>
          <w:lang w:eastAsia="zh-CN"/>
        </w:rPr>
        <w:t>OFFICE OF EMPLOYEE APPEALS</w:t>
      </w:r>
    </w:p>
    <w:p w14:paraId="713C122E" w14:textId="77777777" w:rsidR="006E7BBB" w:rsidRPr="00176979" w:rsidRDefault="006E7BBB" w:rsidP="006E7BBB">
      <w:pPr>
        <w:jc w:val="center"/>
        <w:rPr>
          <w:b/>
          <w:bCs/>
          <w:color w:val="000000" w:themeColor="text1"/>
          <w:sz w:val="12"/>
          <w:szCs w:val="12"/>
          <w:lang w:eastAsia="zh-CN"/>
        </w:rPr>
      </w:pPr>
    </w:p>
    <w:p w14:paraId="28926B9E" w14:textId="77777777" w:rsidR="006E7BBB" w:rsidRPr="00746ED9" w:rsidRDefault="006E7BBB" w:rsidP="006E7BBB">
      <w:pPr>
        <w:jc w:val="center"/>
        <w:rPr>
          <w:b/>
          <w:bCs/>
          <w:color w:val="000000" w:themeColor="text1"/>
          <w:sz w:val="22"/>
          <w:szCs w:val="22"/>
          <w:lang w:eastAsia="zh-CN"/>
        </w:rPr>
      </w:pPr>
      <w:r w:rsidRPr="00746ED9">
        <w:rPr>
          <w:b/>
          <w:bCs/>
          <w:color w:val="000000" w:themeColor="text1"/>
          <w:sz w:val="22"/>
          <w:szCs w:val="22"/>
          <w:lang w:eastAsia="zh-CN"/>
        </w:rPr>
        <w:t>NOTICE OF PUBLIC MEETING</w:t>
      </w:r>
    </w:p>
    <w:p w14:paraId="14375E73" w14:textId="77777777" w:rsidR="006E7BBB" w:rsidRPr="00176979" w:rsidRDefault="006E7BBB" w:rsidP="006E7BBB">
      <w:pPr>
        <w:jc w:val="both"/>
        <w:rPr>
          <w:b/>
          <w:bCs/>
          <w:color w:val="000000" w:themeColor="text1"/>
          <w:sz w:val="12"/>
          <w:szCs w:val="12"/>
          <w:lang w:eastAsia="zh-CN"/>
        </w:rPr>
      </w:pPr>
      <w:r w:rsidRPr="00746ED9">
        <w:rPr>
          <w:b/>
          <w:bCs/>
          <w:color w:val="000000" w:themeColor="text1"/>
          <w:sz w:val="22"/>
          <w:szCs w:val="22"/>
          <w:lang w:eastAsia="zh-CN"/>
        </w:rPr>
        <w:t> </w:t>
      </w:r>
    </w:p>
    <w:p w14:paraId="2B2F1149" w14:textId="77777777" w:rsidR="006E7BBB" w:rsidRPr="006E7BBB" w:rsidRDefault="006E7BBB" w:rsidP="006E7BBB">
      <w:pPr>
        <w:contextualSpacing/>
        <w:jc w:val="both"/>
        <w:rPr>
          <w:sz w:val="22"/>
          <w:szCs w:val="22"/>
        </w:rPr>
      </w:pPr>
      <w:r w:rsidRPr="006E7BBB">
        <w:rPr>
          <w:sz w:val="22"/>
          <w:szCs w:val="22"/>
        </w:rPr>
        <w:t>The District of Columbia Office of Employee Appeals will hold a meeting on January 29, 2026, at 9:30 a.m. The Board will meet remotely. Below is the agenda for the meeting.</w:t>
      </w:r>
    </w:p>
    <w:p w14:paraId="47B6D724" w14:textId="77777777" w:rsidR="006E7BBB" w:rsidRPr="00176979" w:rsidRDefault="006E7BBB" w:rsidP="006E7BBB">
      <w:pPr>
        <w:contextualSpacing/>
        <w:jc w:val="both"/>
        <w:rPr>
          <w:sz w:val="12"/>
          <w:szCs w:val="12"/>
        </w:rPr>
      </w:pPr>
    </w:p>
    <w:p w14:paraId="4C684DB4" w14:textId="77777777" w:rsidR="006E7BBB" w:rsidRPr="006E7BBB" w:rsidRDefault="006E7BBB" w:rsidP="006E7BBB">
      <w:pPr>
        <w:contextualSpacing/>
        <w:jc w:val="both"/>
        <w:rPr>
          <w:sz w:val="22"/>
          <w:szCs w:val="22"/>
        </w:rPr>
      </w:pPr>
      <w:r w:rsidRPr="006E7BBB">
        <w:rPr>
          <w:sz w:val="22"/>
          <w:szCs w:val="22"/>
        </w:rPr>
        <w:t xml:space="preserve">Members of the public are welcome to observe the meeting. In order to attend the meeting, please visit: </w:t>
      </w:r>
    </w:p>
    <w:p w14:paraId="5879D31F" w14:textId="77777777" w:rsidR="006E7BBB" w:rsidRPr="00176979" w:rsidRDefault="006E7BBB" w:rsidP="006E7BBB">
      <w:pPr>
        <w:contextualSpacing/>
        <w:jc w:val="both"/>
        <w:rPr>
          <w:sz w:val="12"/>
          <w:szCs w:val="12"/>
        </w:rPr>
      </w:pPr>
    </w:p>
    <w:p w14:paraId="54A53935" w14:textId="77777777" w:rsidR="006E7BBB" w:rsidRPr="006E7BBB" w:rsidRDefault="006E7BBB" w:rsidP="006E7BBB">
      <w:pPr>
        <w:contextualSpacing/>
        <w:jc w:val="both"/>
        <w:rPr>
          <w:sz w:val="22"/>
          <w:szCs w:val="22"/>
        </w:rPr>
      </w:pPr>
      <w:r w:rsidRPr="006E7BBB">
        <w:rPr>
          <w:sz w:val="22"/>
          <w:szCs w:val="22"/>
        </w:rPr>
        <w:t>Password: Board (26274 from phones and video systems)</w:t>
      </w:r>
    </w:p>
    <w:p w14:paraId="61908423" w14:textId="77777777" w:rsidR="006E7BBB" w:rsidRPr="00176979" w:rsidRDefault="006E7BBB" w:rsidP="006E7BBB">
      <w:pPr>
        <w:contextualSpacing/>
        <w:jc w:val="both"/>
        <w:rPr>
          <w:sz w:val="12"/>
          <w:szCs w:val="12"/>
        </w:rPr>
      </w:pPr>
    </w:p>
    <w:p w14:paraId="002A2369" w14:textId="77777777" w:rsidR="006E7BBB" w:rsidRPr="006E7BBB" w:rsidRDefault="006E7BBB" w:rsidP="006E7BBB">
      <w:pPr>
        <w:contextualSpacing/>
        <w:jc w:val="both"/>
        <w:rPr>
          <w:sz w:val="22"/>
          <w:szCs w:val="22"/>
        </w:rPr>
      </w:pPr>
      <w:hyperlink r:id="rId10" w:history="1">
        <w:r w:rsidRPr="006E7BBB">
          <w:rPr>
            <w:rStyle w:val="Hyperlink"/>
            <w:sz w:val="22"/>
            <w:szCs w:val="22"/>
          </w:rPr>
          <w:t>https://dcnet.webex.com/dcnet/j.php?MTID=mf78c1b3ce4697f37d57099b85a807034</w:t>
        </w:r>
      </w:hyperlink>
    </w:p>
    <w:p w14:paraId="6B9D2DD0" w14:textId="77777777" w:rsidR="006E7BBB" w:rsidRPr="00176979" w:rsidRDefault="006E7BBB" w:rsidP="006E7BBB">
      <w:pPr>
        <w:contextualSpacing/>
        <w:jc w:val="both"/>
        <w:rPr>
          <w:sz w:val="12"/>
          <w:szCs w:val="12"/>
        </w:rPr>
      </w:pPr>
    </w:p>
    <w:p w14:paraId="07F36706" w14:textId="77777777" w:rsidR="006E7BBB" w:rsidRPr="006E7BBB" w:rsidRDefault="006E7BBB" w:rsidP="006E7BBB">
      <w:pPr>
        <w:contextualSpacing/>
        <w:jc w:val="both"/>
        <w:rPr>
          <w:sz w:val="22"/>
          <w:szCs w:val="22"/>
        </w:rPr>
      </w:pPr>
      <w:r w:rsidRPr="006E7BBB">
        <w:rPr>
          <w:sz w:val="22"/>
          <w:szCs w:val="22"/>
        </w:rPr>
        <w:t>We recommend logging in ten (10) minutes before the meeting starts. In order to access Webex, laptop or desktop computer users must use Google Chrome, Firefox, or Microsoft Edge Browsers.</w:t>
      </w:r>
    </w:p>
    <w:p w14:paraId="1FC4069B" w14:textId="77777777" w:rsidR="006E7BBB" w:rsidRPr="00176979" w:rsidRDefault="006E7BBB" w:rsidP="006E7BBB">
      <w:pPr>
        <w:contextualSpacing/>
        <w:jc w:val="both"/>
        <w:rPr>
          <w:sz w:val="12"/>
          <w:szCs w:val="12"/>
        </w:rPr>
      </w:pPr>
    </w:p>
    <w:p w14:paraId="3E3E2F57" w14:textId="77777777" w:rsidR="006E7BBB" w:rsidRPr="006E7BBB" w:rsidRDefault="006E7BBB" w:rsidP="006E7BBB">
      <w:pPr>
        <w:contextualSpacing/>
        <w:jc w:val="both"/>
        <w:rPr>
          <w:sz w:val="22"/>
          <w:szCs w:val="22"/>
        </w:rPr>
      </w:pPr>
      <w:r w:rsidRPr="006E7BBB">
        <w:rPr>
          <w:sz w:val="22"/>
          <w:szCs w:val="22"/>
        </w:rPr>
        <w:t xml:space="preserve">Smartphone/Tablets or iPad user must first go to the App Store, download the Webex App (Cisco Webex Meetings), enter the Access Code, and enter your name, email address, and click Join. It is recommended that a laptop or desktop computer be utilized for this platform.  </w:t>
      </w:r>
    </w:p>
    <w:p w14:paraId="72AAFDEF" w14:textId="77777777" w:rsidR="006E7BBB" w:rsidRPr="00642A34" w:rsidRDefault="006E7BBB" w:rsidP="006E7BBB">
      <w:pPr>
        <w:contextualSpacing/>
        <w:jc w:val="both"/>
        <w:rPr>
          <w:sz w:val="12"/>
          <w:szCs w:val="12"/>
        </w:rPr>
      </w:pPr>
    </w:p>
    <w:p w14:paraId="24DCB828" w14:textId="77777777" w:rsidR="006E7BBB" w:rsidRPr="006E7BBB" w:rsidRDefault="006E7BBB" w:rsidP="006E7BBB">
      <w:pPr>
        <w:contextualSpacing/>
        <w:jc w:val="both"/>
        <w:rPr>
          <w:sz w:val="22"/>
          <w:szCs w:val="22"/>
        </w:rPr>
      </w:pPr>
      <w:r w:rsidRPr="006E7BBB">
        <w:rPr>
          <w:sz w:val="22"/>
          <w:szCs w:val="22"/>
        </w:rPr>
        <w:t xml:space="preserve">Your computer, tablet, or smartphone’s built-in speaker and microphone will be used in the virtual meeting unless you use a headset.  Headsets provide better sound quality and privacy.  </w:t>
      </w:r>
    </w:p>
    <w:p w14:paraId="42919399" w14:textId="77777777" w:rsidR="006E7BBB" w:rsidRPr="00642A34" w:rsidRDefault="006E7BBB" w:rsidP="006E7BBB">
      <w:pPr>
        <w:contextualSpacing/>
        <w:jc w:val="both"/>
        <w:rPr>
          <w:sz w:val="12"/>
          <w:szCs w:val="12"/>
        </w:rPr>
      </w:pPr>
    </w:p>
    <w:p w14:paraId="65D82FD8" w14:textId="77777777" w:rsidR="006E7BBB" w:rsidRPr="006E7BBB" w:rsidRDefault="006E7BBB" w:rsidP="006E7BBB">
      <w:pPr>
        <w:contextualSpacing/>
        <w:jc w:val="both"/>
        <w:rPr>
          <w:b/>
          <w:bCs/>
          <w:sz w:val="22"/>
          <w:szCs w:val="22"/>
        </w:rPr>
      </w:pPr>
      <w:r w:rsidRPr="006E7BBB">
        <w:rPr>
          <w:sz w:val="22"/>
          <w:szCs w:val="22"/>
        </w:rPr>
        <w:t>If you do not have access to the internet, please call-in toll number (US/Canada) 1-650-479-3208, Access Code: 2311 306 0220</w:t>
      </w:r>
    </w:p>
    <w:p w14:paraId="31B05473" w14:textId="77777777" w:rsidR="006E7BBB" w:rsidRPr="00642A34" w:rsidRDefault="006E7BBB" w:rsidP="006E7BBB">
      <w:pPr>
        <w:contextualSpacing/>
        <w:jc w:val="both"/>
        <w:rPr>
          <w:sz w:val="12"/>
          <w:szCs w:val="12"/>
        </w:rPr>
      </w:pPr>
    </w:p>
    <w:p w14:paraId="54A49798" w14:textId="77777777" w:rsidR="006E7BBB" w:rsidRPr="006E7BBB" w:rsidRDefault="006E7BBB" w:rsidP="006E7BBB">
      <w:pPr>
        <w:contextualSpacing/>
        <w:jc w:val="both"/>
        <w:rPr>
          <w:sz w:val="22"/>
          <w:szCs w:val="22"/>
        </w:rPr>
      </w:pPr>
      <w:r w:rsidRPr="006E7BBB">
        <w:rPr>
          <w:sz w:val="22"/>
          <w:szCs w:val="22"/>
        </w:rPr>
        <w:t xml:space="preserve">Questions about the meeting may be directed to </w:t>
      </w:r>
      <w:hyperlink r:id="rId11" w:history="1">
        <w:r w:rsidRPr="006E7BBB">
          <w:rPr>
            <w:rStyle w:val="Hyperlink"/>
            <w:color w:val="auto"/>
            <w:sz w:val="22"/>
            <w:szCs w:val="22"/>
          </w:rPr>
          <w:t>wynter.clarke@dc.gov</w:t>
        </w:r>
      </w:hyperlink>
      <w:r w:rsidRPr="006E7BBB">
        <w:rPr>
          <w:sz w:val="22"/>
          <w:szCs w:val="22"/>
        </w:rPr>
        <w:t>.</w:t>
      </w:r>
    </w:p>
    <w:p w14:paraId="5F0EEE40" w14:textId="77777777" w:rsidR="00501CA6" w:rsidRPr="00E52BC3" w:rsidRDefault="00501CA6" w:rsidP="00501CA6">
      <w:pPr>
        <w:rPr>
          <w:color w:val="000000" w:themeColor="text1"/>
          <w:sz w:val="22"/>
          <w:szCs w:val="22"/>
          <w:highlight w:val="yellow"/>
          <w:lang w:eastAsia="zh-CN"/>
        </w:rPr>
      </w:pPr>
    </w:p>
    <w:p w14:paraId="5AD6F77F" w14:textId="77777777" w:rsidR="00501CA6" w:rsidRPr="00B71DF0" w:rsidRDefault="00501CA6" w:rsidP="00501CA6">
      <w:pPr>
        <w:jc w:val="center"/>
        <w:rPr>
          <w:rFonts w:eastAsia="SimSun"/>
          <w:b/>
          <w:sz w:val="22"/>
          <w:szCs w:val="22"/>
          <w:lang w:eastAsia="zh-CN"/>
        </w:rPr>
      </w:pPr>
      <w:r w:rsidRPr="00B71DF0">
        <w:rPr>
          <w:rFonts w:eastAsia="SimSun"/>
          <w:b/>
          <w:sz w:val="22"/>
          <w:szCs w:val="22"/>
          <w:lang w:eastAsia="zh-CN"/>
        </w:rPr>
        <w:t>Agenda</w:t>
      </w:r>
    </w:p>
    <w:p w14:paraId="03E1B2B5" w14:textId="77777777" w:rsidR="00501CA6" w:rsidRPr="00B71DF0" w:rsidRDefault="00501CA6" w:rsidP="00501CA6">
      <w:pPr>
        <w:jc w:val="center"/>
        <w:rPr>
          <w:rFonts w:eastAsia="SimSun"/>
          <w:sz w:val="22"/>
          <w:szCs w:val="22"/>
          <w:lang w:eastAsia="zh-CN"/>
        </w:rPr>
      </w:pPr>
      <w:r w:rsidRPr="00B71DF0">
        <w:rPr>
          <w:rFonts w:eastAsia="SimSun"/>
          <w:sz w:val="22"/>
          <w:szCs w:val="22"/>
          <w:lang w:eastAsia="zh-CN"/>
        </w:rPr>
        <w:t>D.C. OFFICE OF EMPLOYEE APPEALS (“OEA”) BOARD MEETING</w:t>
      </w:r>
    </w:p>
    <w:p w14:paraId="04918EFE" w14:textId="5706F9F9" w:rsidR="00501CA6" w:rsidRPr="00B71DF0" w:rsidRDefault="00501CA6" w:rsidP="00501CA6">
      <w:pPr>
        <w:jc w:val="center"/>
        <w:rPr>
          <w:rFonts w:eastAsia="SimSun"/>
          <w:sz w:val="22"/>
          <w:szCs w:val="22"/>
          <w:lang w:eastAsia="zh-CN"/>
        </w:rPr>
      </w:pPr>
      <w:r w:rsidRPr="009C2EE4">
        <w:rPr>
          <w:rFonts w:eastAsia="SimSun"/>
          <w:sz w:val="22"/>
          <w:szCs w:val="22"/>
          <w:lang w:eastAsia="zh-CN"/>
        </w:rPr>
        <w:t xml:space="preserve">Thursday, </w:t>
      </w:r>
      <w:r w:rsidR="006E7BBB">
        <w:rPr>
          <w:rFonts w:eastAsia="SimSun"/>
          <w:sz w:val="22"/>
          <w:szCs w:val="22"/>
          <w:lang w:eastAsia="zh-CN"/>
        </w:rPr>
        <w:t>January 29</w:t>
      </w:r>
      <w:r>
        <w:rPr>
          <w:rFonts w:eastAsia="SimSun"/>
          <w:sz w:val="22"/>
          <w:szCs w:val="22"/>
          <w:lang w:eastAsia="zh-CN"/>
        </w:rPr>
        <w:t>, 202</w:t>
      </w:r>
      <w:r w:rsidR="00C34F2A">
        <w:rPr>
          <w:rFonts w:eastAsia="SimSun"/>
          <w:sz w:val="22"/>
          <w:szCs w:val="22"/>
          <w:lang w:eastAsia="zh-CN"/>
        </w:rPr>
        <w:t>6</w:t>
      </w:r>
      <w:r w:rsidRPr="009C2EE4">
        <w:rPr>
          <w:rFonts w:eastAsia="SimSun"/>
          <w:sz w:val="22"/>
          <w:szCs w:val="22"/>
          <w:lang w:eastAsia="zh-CN"/>
        </w:rPr>
        <w:t>, at 9:30 a.m.</w:t>
      </w:r>
    </w:p>
    <w:p w14:paraId="5F275374" w14:textId="77777777" w:rsidR="00501CA6" w:rsidRPr="00B71DF0" w:rsidRDefault="00501CA6" w:rsidP="00501CA6">
      <w:pPr>
        <w:jc w:val="center"/>
        <w:rPr>
          <w:rFonts w:eastAsia="SimSun"/>
          <w:sz w:val="22"/>
          <w:szCs w:val="22"/>
          <w:lang w:eastAsia="zh-CN"/>
        </w:rPr>
      </w:pPr>
      <w:r w:rsidRPr="00B71DF0">
        <w:rPr>
          <w:rFonts w:eastAsia="SimSun"/>
          <w:sz w:val="22"/>
          <w:szCs w:val="22"/>
          <w:lang w:eastAsia="zh-CN"/>
        </w:rPr>
        <w:t>Location: Virtual Meeting via Webex</w:t>
      </w:r>
    </w:p>
    <w:p w14:paraId="02B9774A" w14:textId="77777777" w:rsidR="00501CA6" w:rsidRPr="003B5B18" w:rsidRDefault="00501CA6" w:rsidP="00501CA6">
      <w:pPr>
        <w:jc w:val="center"/>
        <w:rPr>
          <w:rFonts w:eastAsia="SimSun"/>
          <w:sz w:val="12"/>
          <w:szCs w:val="12"/>
          <w:lang w:eastAsia="zh-CN"/>
        </w:rPr>
      </w:pPr>
    </w:p>
    <w:p w14:paraId="202205CF" w14:textId="77777777" w:rsidR="00501CA6" w:rsidRPr="00B71DF0" w:rsidRDefault="00501CA6" w:rsidP="00501CA6">
      <w:pPr>
        <w:widowControl/>
        <w:numPr>
          <w:ilvl w:val="0"/>
          <w:numId w:val="1"/>
        </w:numPr>
        <w:tabs>
          <w:tab w:val="num" w:pos="450"/>
        </w:tabs>
        <w:ind w:hanging="1080"/>
        <w:contextualSpacing/>
        <w:jc w:val="both"/>
        <w:rPr>
          <w:rFonts w:eastAsia="SimSun"/>
          <w:sz w:val="22"/>
          <w:szCs w:val="22"/>
          <w:lang w:eastAsia="zh-CN"/>
        </w:rPr>
      </w:pPr>
      <w:r w:rsidRPr="00B71DF0">
        <w:rPr>
          <w:rFonts w:eastAsia="SimSun"/>
          <w:b/>
          <w:sz w:val="22"/>
          <w:szCs w:val="22"/>
          <w:lang w:eastAsia="zh-CN"/>
        </w:rPr>
        <w:t xml:space="preserve">Call to Order </w:t>
      </w:r>
    </w:p>
    <w:p w14:paraId="5445AB52" w14:textId="77777777" w:rsidR="00501CA6" w:rsidRPr="00A012BA" w:rsidRDefault="00501CA6" w:rsidP="00501CA6">
      <w:pPr>
        <w:ind w:left="1080"/>
        <w:contextualSpacing/>
        <w:jc w:val="both"/>
        <w:rPr>
          <w:rFonts w:eastAsia="SimSun"/>
          <w:sz w:val="12"/>
          <w:szCs w:val="12"/>
          <w:lang w:eastAsia="zh-CN"/>
        </w:rPr>
      </w:pPr>
    </w:p>
    <w:p w14:paraId="0FCA4075" w14:textId="77777777" w:rsidR="00501CA6" w:rsidRPr="00B71DF0" w:rsidRDefault="00501CA6" w:rsidP="00501CA6">
      <w:pPr>
        <w:widowControl/>
        <w:numPr>
          <w:ilvl w:val="0"/>
          <w:numId w:val="1"/>
        </w:numPr>
        <w:tabs>
          <w:tab w:val="num" w:pos="450"/>
          <w:tab w:val="num" w:pos="720"/>
          <w:tab w:val="left" w:pos="900"/>
        </w:tabs>
        <w:ind w:hanging="1080"/>
        <w:contextualSpacing/>
        <w:jc w:val="both"/>
        <w:rPr>
          <w:rFonts w:eastAsia="SimSun"/>
          <w:sz w:val="22"/>
          <w:szCs w:val="22"/>
          <w:lang w:eastAsia="zh-CN"/>
        </w:rPr>
      </w:pPr>
      <w:r w:rsidRPr="00B71DF0">
        <w:rPr>
          <w:rFonts w:eastAsia="SimSun"/>
          <w:b/>
          <w:sz w:val="22"/>
          <w:szCs w:val="22"/>
          <w:lang w:eastAsia="zh-CN"/>
        </w:rPr>
        <w:t>Ascertainment of Quorum</w:t>
      </w:r>
    </w:p>
    <w:p w14:paraId="5D178FE9" w14:textId="77777777" w:rsidR="00501CA6" w:rsidRPr="00A012BA" w:rsidRDefault="00501CA6" w:rsidP="00501CA6">
      <w:pPr>
        <w:ind w:left="720"/>
        <w:contextualSpacing/>
        <w:rPr>
          <w:rFonts w:eastAsia="SimSun"/>
          <w:sz w:val="12"/>
          <w:szCs w:val="12"/>
          <w:lang w:eastAsia="zh-CN"/>
        </w:rPr>
      </w:pPr>
    </w:p>
    <w:p w14:paraId="6BF8BB74" w14:textId="77777777" w:rsidR="00501CA6" w:rsidRPr="00B71DF0" w:rsidRDefault="00501CA6" w:rsidP="00501CA6">
      <w:pPr>
        <w:widowControl/>
        <w:numPr>
          <w:ilvl w:val="0"/>
          <w:numId w:val="1"/>
        </w:numPr>
        <w:tabs>
          <w:tab w:val="num" w:pos="450"/>
        </w:tabs>
        <w:ind w:hanging="1080"/>
        <w:contextualSpacing/>
        <w:jc w:val="both"/>
        <w:rPr>
          <w:rFonts w:eastAsia="SimSun"/>
          <w:b/>
          <w:sz w:val="22"/>
          <w:szCs w:val="22"/>
          <w:lang w:eastAsia="zh-CN"/>
        </w:rPr>
      </w:pPr>
      <w:r w:rsidRPr="00B71DF0">
        <w:rPr>
          <w:rFonts w:eastAsia="SimSun"/>
          <w:b/>
          <w:sz w:val="22"/>
          <w:szCs w:val="22"/>
          <w:lang w:eastAsia="zh-CN"/>
        </w:rPr>
        <w:t>Adoption of Agenda</w:t>
      </w:r>
    </w:p>
    <w:p w14:paraId="403C3ADD" w14:textId="77777777" w:rsidR="00501CA6" w:rsidRPr="00A012BA" w:rsidRDefault="00501CA6" w:rsidP="00501CA6">
      <w:pPr>
        <w:ind w:left="1080"/>
        <w:contextualSpacing/>
        <w:jc w:val="both"/>
        <w:rPr>
          <w:rFonts w:eastAsia="SimSun"/>
          <w:sz w:val="12"/>
          <w:szCs w:val="12"/>
          <w:lang w:eastAsia="zh-CN"/>
        </w:rPr>
      </w:pPr>
    </w:p>
    <w:p w14:paraId="61AB1583" w14:textId="77777777" w:rsidR="00501CA6" w:rsidRPr="00B71DF0" w:rsidRDefault="00501CA6" w:rsidP="00501CA6">
      <w:pPr>
        <w:widowControl/>
        <w:numPr>
          <w:ilvl w:val="0"/>
          <w:numId w:val="1"/>
        </w:numPr>
        <w:tabs>
          <w:tab w:val="num" w:pos="450"/>
        </w:tabs>
        <w:ind w:hanging="1080"/>
        <w:jc w:val="both"/>
        <w:rPr>
          <w:rFonts w:eastAsia="SimSun"/>
          <w:b/>
          <w:sz w:val="22"/>
          <w:szCs w:val="22"/>
          <w:lang w:eastAsia="zh-CN"/>
        </w:rPr>
      </w:pPr>
      <w:r w:rsidRPr="00B71DF0">
        <w:rPr>
          <w:rFonts w:eastAsia="SimSun"/>
          <w:b/>
          <w:sz w:val="22"/>
          <w:szCs w:val="22"/>
          <w:lang w:eastAsia="zh-CN"/>
        </w:rPr>
        <w:t>Minutes Reviewed from Previous Meeting</w:t>
      </w:r>
    </w:p>
    <w:p w14:paraId="7B652BA3" w14:textId="77777777" w:rsidR="00501CA6" w:rsidRPr="00A012BA" w:rsidRDefault="00501CA6" w:rsidP="00501CA6">
      <w:pPr>
        <w:tabs>
          <w:tab w:val="left" w:pos="1133"/>
        </w:tabs>
        <w:jc w:val="both"/>
        <w:rPr>
          <w:rFonts w:eastAsia="Calibri"/>
          <w:sz w:val="12"/>
          <w:szCs w:val="12"/>
        </w:rPr>
      </w:pPr>
      <w:r w:rsidRPr="00B71DF0">
        <w:rPr>
          <w:rFonts w:eastAsia="Calibri"/>
          <w:sz w:val="22"/>
          <w:szCs w:val="22"/>
        </w:rPr>
        <w:tab/>
      </w:r>
    </w:p>
    <w:p w14:paraId="7347FF60" w14:textId="77777777" w:rsidR="00501CA6" w:rsidRPr="00B71DF0" w:rsidRDefault="00501CA6" w:rsidP="00501CA6">
      <w:pPr>
        <w:widowControl/>
        <w:numPr>
          <w:ilvl w:val="0"/>
          <w:numId w:val="1"/>
        </w:numPr>
        <w:tabs>
          <w:tab w:val="num" w:pos="450"/>
        </w:tabs>
        <w:ind w:hanging="1080"/>
        <w:contextualSpacing/>
        <w:jc w:val="both"/>
        <w:rPr>
          <w:rFonts w:eastAsia="SimSun"/>
          <w:b/>
          <w:sz w:val="22"/>
          <w:szCs w:val="22"/>
          <w:lang w:eastAsia="zh-CN"/>
        </w:rPr>
      </w:pPr>
      <w:r w:rsidRPr="00B71DF0">
        <w:rPr>
          <w:rFonts w:eastAsia="SimSun"/>
          <w:b/>
          <w:sz w:val="22"/>
          <w:szCs w:val="22"/>
          <w:lang w:eastAsia="zh-CN"/>
        </w:rPr>
        <w:t>New Business</w:t>
      </w:r>
    </w:p>
    <w:p w14:paraId="2C1D0D1F" w14:textId="77777777" w:rsidR="00501CA6" w:rsidRPr="00E41D8F" w:rsidRDefault="00501CA6" w:rsidP="00501CA6">
      <w:pPr>
        <w:contextualSpacing/>
        <w:jc w:val="both"/>
        <w:rPr>
          <w:rFonts w:eastAsia="SimSun"/>
          <w:sz w:val="12"/>
          <w:szCs w:val="12"/>
          <w:lang w:eastAsia="zh-CN"/>
        </w:rPr>
      </w:pPr>
    </w:p>
    <w:p w14:paraId="718D32DA" w14:textId="77777777" w:rsidR="00501CA6" w:rsidRPr="00B71DF0" w:rsidRDefault="00501CA6" w:rsidP="00501CA6">
      <w:pPr>
        <w:widowControl/>
        <w:numPr>
          <w:ilvl w:val="1"/>
          <w:numId w:val="1"/>
        </w:numPr>
        <w:tabs>
          <w:tab w:val="num" w:pos="900"/>
        </w:tabs>
        <w:ind w:hanging="990"/>
        <w:contextualSpacing/>
        <w:jc w:val="both"/>
        <w:rPr>
          <w:rFonts w:eastAsia="SimSun"/>
          <w:b/>
          <w:sz w:val="22"/>
          <w:szCs w:val="22"/>
          <w:lang w:eastAsia="zh-CN"/>
        </w:rPr>
      </w:pPr>
      <w:r w:rsidRPr="00B71DF0">
        <w:rPr>
          <w:rFonts w:eastAsia="SimSun"/>
          <w:b/>
          <w:sz w:val="22"/>
          <w:szCs w:val="22"/>
          <w:lang w:eastAsia="zh-CN"/>
        </w:rPr>
        <w:t>Public Comments on Petitions for Review</w:t>
      </w:r>
    </w:p>
    <w:p w14:paraId="50E4D82B" w14:textId="77777777" w:rsidR="00501CA6" w:rsidRPr="00A012BA" w:rsidRDefault="00501CA6" w:rsidP="00501CA6">
      <w:pPr>
        <w:tabs>
          <w:tab w:val="num" w:pos="1440"/>
        </w:tabs>
        <w:ind w:left="1440"/>
        <w:contextualSpacing/>
        <w:jc w:val="both"/>
        <w:rPr>
          <w:rFonts w:eastAsia="SimSun"/>
          <w:b/>
          <w:sz w:val="12"/>
          <w:szCs w:val="12"/>
          <w:lang w:eastAsia="zh-CN"/>
        </w:rPr>
      </w:pPr>
    </w:p>
    <w:p w14:paraId="7645D6F0" w14:textId="77777777" w:rsidR="00501CA6" w:rsidRDefault="00501CA6" w:rsidP="00501CA6">
      <w:pPr>
        <w:widowControl/>
        <w:numPr>
          <w:ilvl w:val="1"/>
          <w:numId w:val="1"/>
        </w:numPr>
        <w:tabs>
          <w:tab w:val="num" w:pos="900"/>
        </w:tabs>
        <w:ind w:hanging="990"/>
        <w:contextualSpacing/>
        <w:jc w:val="both"/>
        <w:rPr>
          <w:rFonts w:eastAsia="SimSun"/>
          <w:b/>
          <w:sz w:val="22"/>
          <w:szCs w:val="22"/>
          <w:lang w:eastAsia="zh-CN"/>
        </w:rPr>
      </w:pPr>
      <w:r w:rsidRPr="00CB2B33">
        <w:rPr>
          <w:rFonts w:eastAsia="SimSun"/>
          <w:b/>
          <w:sz w:val="22"/>
          <w:szCs w:val="22"/>
          <w:lang w:eastAsia="zh-CN"/>
        </w:rPr>
        <w:t>Summary of Cases</w:t>
      </w:r>
    </w:p>
    <w:p w14:paraId="7053B5E9" w14:textId="77777777" w:rsidR="00501CA6" w:rsidRPr="00E60A68" w:rsidRDefault="00501CA6" w:rsidP="00501CA6">
      <w:pPr>
        <w:pStyle w:val="ListParagraph"/>
        <w:rPr>
          <w:rFonts w:eastAsia="SimSun"/>
          <w:b/>
          <w:sz w:val="12"/>
          <w:szCs w:val="12"/>
          <w:lang w:eastAsia="zh-CN"/>
        </w:rPr>
      </w:pPr>
    </w:p>
    <w:p w14:paraId="506F3D02" w14:textId="4DC8036E" w:rsidR="007F40BC" w:rsidRPr="007F40BC" w:rsidRDefault="00501CA6" w:rsidP="007F40BC">
      <w:pPr>
        <w:pStyle w:val="ListParagraph"/>
        <w:numPr>
          <w:ilvl w:val="2"/>
          <w:numId w:val="1"/>
        </w:numPr>
        <w:jc w:val="both"/>
        <w:rPr>
          <w:sz w:val="22"/>
          <w:szCs w:val="22"/>
          <w14:ligatures w14:val="none"/>
        </w:rPr>
      </w:pPr>
      <w:r w:rsidRPr="007F40BC">
        <w:rPr>
          <w:rFonts w:eastAsia="SimSun"/>
          <w:b/>
          <w:sz w:val="22"/>
          <w:szCs w:val="22"/>
          <w:lang w:eastAsia="zh-CN"/>
        </w:rPr>
        <w:t xml:space="preserve">Employee v. </w:t>
      </w:r>
      <w:r w:rsidR="005D25E7" w:rsidRPr="007F40BC">
        <w:rPr>
          <w:b/>
          <w:bCs/>
          <w:sz w:val="22"/>
          <w:szCs w:val="22"/>
        </w:rPr>
        <w:t xml:space="preserve">D.C. </w:t>
      </w:r>
      <w:r w:rsidR="00931DBD" w:rsidRPr="007F40BC">
        <w:rPr>
          <w:b/>
          <w:bCs/>
          <w:sz w:val="22"/>
          <w:szCs w:val="22"/>
        </w:rPr>
        <w:t>Public Schools</w:t>
      </w:r>
      <w:r w:rsidRPr="007F40BC">
        <w:rPr>
          <w:rFonts w:eastAsia="SimSun"/>
          <w:b/>
          <w:sz w:val="22"/>
          <w:szCs w:val="22"/>
          <w:lang w:eastAsia="zh-CN"/>
        </w:rPr>
        <w:t xml:space="preserve">, OEA Matter No. </w:t>
      </w:r>
      <w:r w:rsidRPr="007F40BC">
        <w:rPr>
          <w:b/>
          <w:bCs/>
          <w:sz w:val="22"/>
          <w:szCs w:val="22"/>
        </w:rPr>
        <w:t>1601-00</w:t>
      </w:r>
      <w:r w:rsidR="001231F7" w:rsidRPr="007F40BC">
        <w:rPr>
          <w:b/>
          <w:bCs/>
          <w:sz w:val="22"/>
          <w:szCs w:val="22"/>
        </w:rPr>
        <w:t>32</w:t>
      </w:r>
      <w:r w:rsidRPr="007F40BC">
        <w:rPr>
          <w:b/>
          <w:bCs/>
          <w:sz w:val="22"/>
          <w:szCs w:val="22"/>
        </w:rPr>
        <w:t>-2</w:t>
      </w:r>
      <w:r w:rsidR="005D25E7" w:rsidRPr="007F40BC">
        <w:rPr>
          <w:b/>
          <w:bCs/>
          <w:sz w:val="22"/>
          <w:szCs w:val="22"/>
        </w:rPr>
        <w:t>5</w:t>
      </w:r>
      <w:r w:rsidRPr="007F40BC">
        <w:rPr>
          <w:b/>
          <w:bCs/>
          <w:sz w:val="22"/>
          <w:szCs w:val="22"/>
        </w:rPr>
        <w:t xml:space="preserve"> –</w:t>
      </w:r>
      <w:r w:rsidR="00A8441A" w:rsidRPr="007F40BC">
        <w:rPr>
          <w:b/>
          <w:bCs/>
          <w:sz w:val="22"/>
          <w:szCs w:val="22"/>
        </w:rPr>
        <w:t>-</w:t>
      </w:r>
      <w:r w:rsidR="007F40BC" w:rsidRPr="007F40BC">
        <w:rPr>
          <w:b/>
          <w:bCs/>
          <w:sz w:val="22"/>
          <w:szCs w:val="22"/>
        </w:rPr>
        <w:t xml:space="preserve"> </w:t>
      </w:r>
      <w:r w:rsidR="007F40BC" w:rsidRPr="007F40BC">
        <w:rPr>
          <w:sz w:val="22"/>
          <w:szCs w:val="22"/>
          <w14:ligatures w14:val="none"/>
        </w:rPr>
        <w:t xml:space="preserve">Employee worked as a Teacher with the D.C. Public Schools (“Agency”). On February 6, 2025, Agency issued a Notice of Termination, charging her with violating 5-E D.C. Municipal Regulations (“DCMR”) §§ 1401.2(j) – willful disobedience, 1401.2(e) – insubordination, and 1401.2(v) – other conduct during outside of duty hours that would affect adversely the employee’s or the agency’s ability to perform effectively. The facts which formed the basis of this appeal stemmed from an incident wherein Employee allegedly disregarded a direct order to refrain from sending emails regarding a verbal altercation with a co-worker. According to Agency, Employee emailed the Chancellor’s office, other Agency employees, and a pastor offering a $5,000 reward for any witness to come </w:t>
      </w:r>
      <w:r w:rsidR="007F40BC" w:rsidRPr="007F40BC">
        <w:rPr>
          <w:sz w:val="22"/>
          <w:szCs w:val="22"/>
          <w14:ligatures w14:val="none"/>
        </w:rPr>
        <w:lastRenderedPageBreak/>
        <w:t>forward regarding the incident. Employee’s termination became effective on February 24, 2025.</w:t>
      </w:r>
    </w:p>
    <w:p w14:paraId="56845FAD" w14:textId="77777777" w:rsidR="007F40BC" w:rsidRPr="007F40BC" w:rsidRDefault="007F40BC" w:rsidP="007F40BC">
      <w:pPr>
        <w:contextualSpacing/>
        <w:jc w:val="both"/>
        <w:rPr>
          <w:sz w:val="12"/>
          <w:szCs w:val="12"/>
          <w14:ligatures w14:val="none"/>
        </w:rPr>
      </w:pPr>
    </w:p>
    <w:p w14:paraId="2F57438B" w14:textId="77777777" w:rsidR="007F40BC" w:rsidRPr="00A85EFB" w:rsidRDefault="007F40BC" w:rsidP="007F40BC">
      <w:pPr>
        <w:ind w:left="1620"/>
        <w:contextualSpacing/>
        <w:jc w:val="both"/>
        <w:rPr>
          <w:sz w:val="22"/>
          <w:szCs w:val="22"/>
          <w14:ligatures w14:val="none"/>
        </w:rPr>
      </w:pPr>
      <w:r w:rsidRPr="00A85EFB">
        <w:rPr>
          <w:sz w:val="22"/>
          <w:szCs w:val="22"/>
          <w14:ligatures w14:val="none"/>
        </w:rPr>
        <w:t>Employee filed a Petition for Appeal with the Office of Employee Appeals (“OEA”) on March 25, 2025.  She alleged that she was wrongfully terminated in retaliation for her role as a whistleblower. Employe claimed that she did not engage in insubordination because she complied with Agency’s instructions. As a result, she requested that she receive compensation for damages.</w:t>
      </w:r>
    </w:p>
    <w:p w14:paraId="41C70137" w14:textId="77777777" w:rsidR="007F40BC" w:rsidRPr="007F40BC" w:rsidRDefault="007F40BC" w:rsidP="007F40BC">
      <w:pPr>
        <w:contextualSpacing/>
        <w:jc w:val="both"/>
        <w:rPr>
          <w:sz w:val="12"/>
          <w:szCs w:val="12"/>
          <w14:ligatures w14:val="none"/>
        </w:rPr>
      </w:pPr>
    </w:p>
    <w:p w14:paraId="0A866D08" w14:textId="77777777" w:rsidR="007F40BC" w:rsidRPr="00A85EFB" w:rsidRDefault="007F40BC" w:rsidP="007F40BC">
      <w:pPr>
        <w:ind w:left="1620"/>
        <w:contextualSpacing/>
        <w:jc w:val="both"/>
        <w:rPr>
          <w:sz w:val="22"/>
          <w:szCs w:val="22"/>
          <w14:ligatures w14:val="none"/>
        </w:rPr>
      </w:pPr>
      <w:r w:rsidRPr="00A85EFB">
        <w:rPr>
          <w:sz w:val="22"/>
          <w:szCs w:val="22"/>
          <w14:ligatures w14:val="none"/>
        </w:rPr>
        <w:t>On April 25, 2025, Agency filed a Motion to Dismiss and Answer to the Petition for Appeal.</w:t>
      </w:r>
      <w:r>
        <w:rPr>
          <w:sz w:val="22"/>
          <w:szCs w:val="22"/>
          <w14:ligatures w14:val="none"/>
        </w:rPr>
        <w:t xml:space="preserve"> </w:t>
      </w:r>
      <w:r w:rsidRPr="00A85EFB">
        <w:rPr>
          <w:sz w:val="22"/>
          <w:szCs w:val="22"/>
          <w14:ligatures w14:val="none"/>
        </w:rPr>
        <w:t>Agency asserted that Employee’s actions were in direct violation of the directive of the principal to refrain from sending emails. Additionally, it contended that because Employee was still within her probationary period, she was precluded from filing an appeal with OEA. Agency provided that OEA lacked jurisdiction over probationary employees; therefore, it requested that Employee’s petition be dismissed.</w:t>
      </w:r>
      <w:r w:rsidRPr="00A85EFB">
        <w:rPr>
          <w:sz w:val="22"/>
          <w:szCs w:val="22"/>
          <w14:ligatures w14:val="none"/>
        </w:rPr>
        <w:tab/>
      </w:r>
    </w:p>
    <w:p w14:paraId="62117B69" w14:textId="77777777" w:rsidR="007F40BC" w:rsidRPr="007F40BC" w:rsidRDefault="007F40BC" w:rsidP="007F40BC">
      <w:pPr>
        <w:contextualSpacing/>
        <w:jc w:val="both"/>
        <w:rPr>
          <w:sz w:val="12"/>
          <w:szCs w:val="12"/>
          <w14:ligatures w14:val="none"/>
        </w:rPr>
      </w:pPr>
    </w:p>
    <w:p w14:paraId="53B84B20" w14:textId="77777777" w:rsidR="007F40BC" w:rsidRPr="00A85EFB" w:rsidRDefault="007F40BC" w:rsidP="007F40BC">
      <w:pPr>
        <w:ind w:left="1620"/>
        <w:contextualSpacing/>
        <w:jc w:val="both"/>
        <w:rPr>
          <w:sz w:val="22"/>
          <w:szCs w:val="22"/>
          <w14:ligatures w14:val="none"/>
        </w:rPr>
      </w:pPr>
      <w:r w:rsidRPr="00A85EFB">
        <w:rPr>
          <w:sz w:val="22"/>
          <w:szCs w:val="22"/>
          <w14:ligatures w14:val="none"/>
        </w:rPr>
        <w:t>The OEA Administrative Judge (“AJ”) issued an order requesting that the parties submit briefs on OEA’s jurisdiction. On July 3, 2025, Employee filed her brief asserting that she was not a probationary employee at the time of termination.  She argued that she had been a substitute teacher with Agency since March of 2012, and she was promoted to a Special Education Teacher on August 11, 2024. Employee also noted that her offer letter did not indicate that she was a probationary employee but, rather, was a permanent employee.</w:t>
      </w:r>
    </w:p>
    <w:p w14:paraId="6026FE9D" w14:textId="77777777" w:rsidR="007F40BC" w:rsidRPr="007F40BC" w:rsidRDefault="007F40BC" w:rsidP="007F40BC">
      <w:pPr>
        <w:contextualSpacing/>
        <w:jc w:val="both"/>
        <w:rPr>
          <w:sz w:val="12"/>
          <w:szCs w:val="12"/>
          <w14:ligatures w14:val="none"/>
        </w:rPr>
      </w:pPr>
    </w:p>
    <w:p w14:paraId="5302ADC4" w14:textId="0D38774B" w:rsidR="007F40BC" w:rsidRPr="00A85EFB" w:rsidRDefault="007F40BC" w:rsidP="007F40BC">
      <w:pPr>
        <w:ind w:left="1620"/>
        <w:contextualSpacing/>
        <w:jc w:val="both"/>
        <w:rPr>
          <w:sz w:val="22"/>
          <w:szCs w:val="22"/>
          <w14:ligatures w14:val="none"/>
        </w:rPr>
      </w:pPr>
      <w:r w:rsidRPr="00A85EFB">
        <w:rPr>
          <w:sz w:val="22"/>
          <w:szCs w:val="22"/>
          <w14:ligatures w14:val="none"/>
        </w:rPr>
        <w:t xml:space="preserve">Agency filed its Response to Employee’s Brief on Jurisdiction on July 17, 2025. It asserted that Employee was a probationary employee at the time she was terminated. Agency reiterated that Employee began her employment with Agency on August 12, 2024, and her employment was terminated effective February 24, 2025. Thus, it opined that the matter should be dismissed for lack of jurisdiction. Employee filed a supplemental statement to Agency’s Response highlighting that she never received a copy of the District Personnel Manual nor was she informed that she was required to serve a probationary period.   </w:t>
      </w:r>
    </w:p>
    <w:p w14:paraId="28D12527" w14:textId="77777777" w:rsidR="007F40BC" w:rsidRPr="007F40BC" w:rsidRDefault="007F40BC" w:rsidP="007F40BC">
      <w:pPr>
        <w:contextualSpacing/>
        <w:jc w:val="both"/>
        <w:rPr>
          <w:sz w:val="12"/>
          <w:szCs w:val="12"/>
          <w14:ligatures w14:val="none"/>
        </w:rPr>
      </w:pPr>
    </w:p>
    <w:p w14:paraId="7A8B00B0" w14:textId="77777777" w:rsidR="007F40BC" w:rsidRPr="00A85EFB" w:rsidRDefault="007F40BC" w:rsidP="007F40BC">
      <w:pPr>
        <w:ind w:left="1620"/>
        <w:contextualSpacing/>
        <w:jc w:val="both"/>
        <w:rPr>
          <w:sz w:val="22"/>
          <w:szCs w:val="22"/>
          <w14:ligatures w14:val="none"/>
        </w:rPr>
      </w:pPr>
      <w:r w:rsidRPr="00A85EFB">
        <w:rPr>
          <w:sz w:val="22"/>
          <w:szCs w:val="22"/>
          <w14:ligatures w14:val="none"/>
        </w:rPr>
        <w:t xml:space="preserve">On August 19, 2025, the AJ issued an Initial Decision.  She held that pursuant to </w:t>
      </w:r>
      <w:r w:rsidRPr="00A85EFB">
        <w:rPr>
          <w:sz w:val="22"/>
          <w:szCs w:val="22"/>
        </w:rPr>
        <w:t>District Personnel Manuel (“</w:t>
      </w:r>
      <w:r w:rsidRPr="00A85EFB">
        <w:rPr>
          <w:sz w:val="22"/>
          <w:szCs w:val="22"/>
          <w14:ligatures w14:val="none"/>
        </w:rPr>
        <w:t>DPM”) § 814.3, an employee’s termination during a probationary period is not appealable to OEA.  Additionally, the AJ opined that in accordance with 5-E DCMR § 1307.1, “an employee initially entering or transferring into the Educational service shall meet certification requirements of the Board of the Education and serve a probationary period.” Moreover, she noted that § 1307.2 provides that “[a]n initial appointee to the EG salary class, except those appointed to classroom teaching positions, shall serve a one (1) year probationary period. Appointees to EG teaching positions shall serve a probationary period of two (2) years.” Thus, she held that Employee was subject to a probationary period.  The AJ ruled that because a termination during a probation period is not appealable or grievable to OEA, the matter was dismissed for lack of jurisdiction.</w:t>
      </w:r>
    </w:p>
    <w:p w14:paraId="41A650A1" w14:textId="77777777" w:rsidR="007F40BC" w:rsidRPr="007F40BC" w:rsidRDefault="007F40BC" w:rsidP="007F40BC">
      <w:pPr>
        <w:contextualSpacing/>
        <w:jc w:val="both"/>
        <w:rPr>
          <w:sz w:val="12"/>
          <w:szCs w:val="12"/>
          <w14:ligatures w14:val="none"/>
        </w:rPr>
      </w:pPr>
    </w:p>
    <w:p w14:paraId="50D0F739" w14:textId="00964E0B" w:rsidR="007F40BC" w:rsidRDefault="007F40BC" w:rsidP="007F40BC">
      <w:pPr>
        <w:ind w:left="1620"/>
        <w:contextualSpacing/>
        <w:jc w:val="both"/>
        <w:rPr>
          <w:rFonts w:eastAsia="SimSun"/>
          <w:b/>
          <w:sz w:val="22"/>
          <w:szCs w:val="22"/>
          <w:lang w:eastAsia="zh-CN"/>
        </w:rPr>
      </w:pPr>
      <w:r w:rsidRPr="00A85EFB">
        <w:rPr>
          <w:sz w:val="22"/>
          <w:szCs w:val="22"/>
          <w14:ligatures w14:val="none"/>
        </w:rPr>
        <w:t>Employee disagreed with the Initial Decision and filed a Petition for Review with the OEA Board on September 16, 2025. In her petition, she asserts that the Initial Decision was based on an erroneous interpretation of the law and failed to consider material evidence. Specifically, Employee contends that she was unaware that she was in a probationary status and claims that she was a permanent employee.  Accordingly, she requests that the Board grant her petition for review.</w:t>
      </w:r>
    </w:p>
    <w:p w14:paraId="21A4F59D" w14:textId="77777777" w:rsidR="007F40BC" w:rsidRPr="00002E26" w:rsidRDefault="007F40BC" w:rsidP="007F40BC">
      <w:pPr>
        <w:pStyle w:val="ListParagraph"/>
        <w:ind w:left="1620"/>
        <w:jc w:val="both"/>
        <w:rPr>
          <w:sz w:val="12"/>
          <w:szCs w:val="12"/>
        </w:rPr>
      </w:pPr>
    </w:p>
    <w:p w14:paraId="381E2ECB" w14:textId="67585A8F" w:rsidR="00090927" w:rsidRPr="00090927" w:rsidRDefault="00501CA6" w:rsidP="00090927">
      <w:pPr>
        <w:pStyle w:val="ListParagraph"/>
        <w:widowControl/>
        <w:numPr>
          <w:ilvl w:val="2"/>
          <w:numId w:val="1"/>
        </w:numPr>
        <w:spacing w:after="160"/>
        <w:jc w:val="both"/>
        <w:rPr>
          <w:sz w:val="22"/>
          <w:szCs w:val="22"/>
        </w:rPr>
      </w:pPr>
      <w:r w:rsidRPr="00090927">
        <w:rPr>
          <w:rFonts w:eastAsia="SimSun"/>
          <w:b/>
          <w:sz w:val="22"/>
          <w:szCs w:val="22"/>
          <w:lang w:eastAsia="zh-CN"/>
        </w:rPr>
        <w:lastRenderedPageBreak/>
        <w:t>Employee v.</w:t>
      </w:r>
      <w:r w:rsidR="005D25E7" w:rsidRPr="00090927">
        <w:rPr>
          <w:rFonts w:eastAsia="SimSun"/>
          <w:b/>
          <w:sz w:val="22"/>
          <w:szCs w:val="22"/>
          <w:lang w:eastAsia="zh-CN"/>
        </w:rPr>
        <w:t xml:space="preserve"> Metropolitan Police Department, OEA Matter No.</w:t>
      </w:r>
      <w:r w:rsidR="00A8441A" w:rsidRPr="00090927">
        <w:rPr>
          <w:rFonts w:eastAsia="SimSun"/>
          <w:b/>
          <w:sz w:val="22"/>
          <w:szCs w:val="22"/>
          <w:lang w:eastAsia="zh-CN"/>
        </w:rPr>
        <w:t xml:space="preserve"> 1601-00</w:t>
      </w:r>
      <w:r w:rsidR="004302FE" w:rsidRPr="00090927">
        <w:rPr>
          <w:rFonts w:eastAsia="SimSun"/>
          <w:b/>
          <w:sz w:val="22"/>
          <w:szCs w:val="22"/>
          <w:lang w:eastAsia="zh-CN"/>
        </w:rPr>
        <w:t>36</w:t>
      </w:r>
      <w:r w:rsidR="00A8441A" w:rsidRPr="00090927">
        <w:rPr>
          <w:rFonts w:eastAsia="SimSun"/>
          <w:b/>
          <w:sz w:val="22"/>
          <w:szCs w:val="22"/>
          <w:lang w:eastAsia="zh-CN"/>
        </w:rPr>
        <w:t>-2</w:t>
      </w:r>
      <w:r w:rsidR="004302FE" w:rsidRPr="00090927">
        <w:rPr>
          <w:rFonts w:eastAsia="SimSun"/>
          <w:b/>
          <w:sz w:val="22"/>
          <w:szCs w:val="22"/>
          <w:lang w:eastAsia="zh-CN"/>
        </w:rPr>
        <w:t>3</w:t>
      </w:r>
      <w:r w:rsidR="00A8441A" w:rsidRPr="00090927">
        <w:rPr>
          <w:rFonts w:eastAsia="SimSun"/>
          <w:b/>
          <w:sz w:val="22"/>
          <w:szCs w:val="22"/>
          <w:lang w:eastAsia="zh-CN"/>
        </w:rPr>
        <w:t xml:space="preserve"> — </w:t>
      </w:r>
      <w:r w:rsidR="00090927" w:rsidRPr="00090927">
        <w:rPr>
          <w:sz w:val="22"/>
          <w:szCs w:val="22"/>
        </w:rPr>
        <w:t>Employee worked as a Legal Instruments Examiner with the Metropolitan Police Department (“Agency”). On November 15, 2022, Agency issued Employee a Fifteen-Day Advance Written Notice of Proposed Removal. The notice charged Employee with two counts of Conduct Prejudicial to the District Government and one count of Unethical or Improper Use of Official Authority or Credentials pursuant to Chapter 6-B, Sections 1607.2(a)(3), 1605.5(a), 1607.2(a)(5), and 1607.2(a)(9) of the D.C. Municipal Regulations (“DCMR”). The charges stemmed from Employee’s May 31, 2023, arrest in the District of Columbia on four counts of carrying a pistol without a license, possession of a large capacity ammunition feeding device, possession of an unregistered firearm, and unlawful possession of ammunition. A hearing officer subsequently conducted an administrative review of the charges and recommended Employee’s removal. On March 6, 2023, Agency issued its Notice of Final Decision, terminating Employee from service effective March 6, 2023.</w:t>
      </w:r>
    </w:p>
    <w:p w14:paraId="0F909D5E" w14:textId="5518D510" w:rsidR="00090927" w:rsidRPr="00A85EFB" w:rsidRDefault="00090927" w:rsidP="00090927">
      <w:pPr>
        <w:ind w:left="1620"/>
        <w:contextualSpacing/>
        <w:jc w:val="both"/>
        <w:rPr>
          <w:sz w:val="22"/>
          <w:szCs w:val="22"/>
        </w:rPr>
      </w:pPr>
      <w:r w:rsidRPr="00A85EFB">
        <w:rPr>
          <w:sz w:val="22"/>
          <w:szCs w:val="22"/>
        </w:rPr>
        <w:t>Employee filed a Petition for Appeal with the Office of Employee Appeals on March 21, 2023. She argued that Agency’s decision to terminate her was wrongful because the criminal charges were still pending before the Superior Court for the District of Columbia. As a result, Employee asked to be reinstated to her position of record.</w:t>
      </w:r>
    </w:p>
    <w:p w14:paraId="39F1CB95" w14:textId="77777777" w:rsidR="00090927" w:rsidRPr="00090927" w:rsidRDefault="00090927" w:rsidP="00090927">
      <w:pPr>
        <w:contextualSpacing/>
        <w:jc w:val="both"/>
        <w:rPr>
          <w:sz w:val="12"/>
          <w:szCs w:val="12"/>
        </w:rPr>
      </w:pPr>
    </w:p>
    <w:p w14:paraId="0C1BE1F5" w14:textId="77777777" w:rsidR="00090927" w:rsidRPr="00A85EFB" w:rsidRDefault="00090927" w:rsidP="00090927">
      <w:pPr>
        <w:ind w:left="1620"/>
        <w:contextualSpacing/>
        <w:jc w:val="both"/>
        <w:rPr>
          <w:sz w:val="22"/>
          <w:szCs w:val="22"/>
        </w:rPr>
      </w:pPr>
      <w:r w:rsidRPr="00A85EFB">
        <w:rPr>
          <w:sz w:val="22"/>
          <w:szCs w:val="22"/>
        </w:rPr>
        <w:t xml:space="preserve">Agency filed its answer on March 29, 2023. It denied Employee’s substantive arguments and alleged that her termination was taken for cause. Agency contended that the penalty of termination was appropriate in light of the </w:t>
      </w:r>
      <w:r w:rsidRPr="00A85EFB">
        <w:rPr>
          <w:i/>
          <w:iCs/>
          <w:sz w:val="22"/>
          <w:szCs w:val="22"/>
        </w:rPr>
        <w:t>Douglas</w:t>
      </w:r>
      <w:r w:rsidRPr="00A85EFB">
        <w:rPr>
          <w:sz w:val="22"/>
          <w:szCs w:val="22"/>
        </w:rPr>
        <w:t xml:space="preserve"> factors. It further opined that the termination action was taken in accordance with all laws, rules, and regulations. Therefore, Agency requested that Employee’s removal be upheld.</w:t>
      </w:r>
    </w:p>
    <w:p w14:paraId="24B82AC7" w14:textId="77777777" w:rsidR="00090927" w:rsidRPr="00090927" w:rsidRDefault="00090927" w:rsidP="00090927">
      <w:pPr>
        <w:contextualSpacing/>
        <w:jc w:val="both"/>
        <w:rPr>
          <w:sz w:val="12"/>
          <w:szCs w:val="12"/>
        </w:rPr>
      </w:pPr>
    </w:p>
    <w:p w14:paraId="484DE5AA" w14:textId="77777777" w:rsidR="00090927" w:rsidRPr="00A85EFB" w:rsidRDefault="00090927" w:rsidP="00090927">
      <w:pPr>
        <w:ind w:left="1620"/>
        <w:contextualSpacing/>
        <w:jc w:val="both"/>
        <w:rPr>
          <w:sz w:val="22"/>
          <w:szCs w:val="22"/>
        </w:rPr>
      </w:pPr>
      <w:r w:rsidRPr="00A85EFB">
        <w:rPr>
          <w:sz w:val="22"/>
          <w:szCs w:val="22"/>
        </w:rPr>
        <w:t>On May 25, 2023, the OEA Administrative Judge (“AJ”) held a status conference to assess the parties’ arguments. The AJ subsequently ordered the parties to submit written briefs addressing whether Agency’s adverse action was taken for cause and whether the penalty of termination was appropriate. However, on June 8, 2023, Agency filed a Motion to Stay Proceeding Pending Resolution of Employee’s Criminal Matter. According to Agency, the stay served to protect Employee’s due process rights before OEA because it could not use information from an open criminal case before an administrative adjudicatory body. The AJ granted Agency’s motion on June 30, 2023, and the matter was stayed until the criminal charges against Employee were dismissed in Superior Court on January 24, 2025. The parties were again directed to submit briefs in support of their positions.</w:t>
      </w:r>
    </w:p>
    <w:p w14:paraId="6F708EA2" w14:textId="77777777" w:rsidR="00090927" w:rsidRPr="00090927" w:rsidRDefault="00090927" w:rsidP="00090927">
      <w:pPr>
        <w:contextualSpacing/>
        <w:jc w:val="both"/>
        <w:rPr>
          <w:sz w:val="12"/>
          <w:szCs w:val="12"/>
        </w:rPr>
      </w:pPr>
    </w:p>
    <w:p w14:paraId="4C1CE1EC" w14:textId="77777777" w:rsidR="00090927" w:rsidRPr="00A85EFB" w:rsidRDefault="00090927" w:rsidP="00090927">
      <w:pPr>
        <w:ind w:left="1620"/>
        <w:contextualSpacing/>
        <w:jc w:val="both"/>
        <w:rPr>
          <w:sz w:val="22"/>
          <w:szCs w:val="22"/>
        </w:rPr>
      </w:pPr>
      <w:r w:rsidRPr="00A85EFB">
        <w:rPr>
          <w:sz w:val="22"/>
          <w:szCs w:val="22"/>
        </w:rPr>
        <w:t xml:space="preserve">In its brief, Agency contended that the termination action was taken for cause. It asserted that it was undisputed that Employee was arrested for crimes that were related to the performance of her duties; committed an act or omission constituting a criminal offense; and participated in off duty conduct which adversely affected Employee’s job performance, trustworthiness, and Agency’s mission. Additionally, Agency submitted that Employee attempted to use her official authority or credentials by requesting to call her Captain to potentially avoid arrest. Lastly, it reasoned that termination was appropriate based on the Table of Illustrative Actions and a thorough analysis of the </w:t>
      </w:r>
      <w:r w:rsidRPr="00A85EFB">
        <w:rPr>
          <w:i/>
          <w:iCs/>
          <w:sz w:val="22"/>
          <w:szCs w:val="22"/>
        </w:rPr>
        <w:t>Douglas</w:t>
      </w:r>
      <w:r w:rsidRPr="00A85EFB">
        <w:rPr>
          <w:sz w:val="22"/>
          <w:szCs w:val="22"/>
        </w:rPr>
        <w:t xml:space="preserve"> factors. Consequently, Agency asked that Employee’s termination be upheld.</w:t>
      </w:r>
    </w:p>
    <w:p w14:paraId="0B140B5B" w14:textId="77777777" w:rsidR="00090927" w:rsidRDefault="00090927" w:rsidP="00090927">
      <w:pPr>
        <w:contextualSpacing/>
        <w:jc w:val="both"/>
        <w:rPr>
          <w:sz w:val="22"/>
          <w:szCs w:val="22"/>
        </w:rPr>
      </w:pPr>
    </w:p>
    <w:p w14:paraId="1B0455C3" w14:textId="77777777" w:rsidR="00090927" w:rsidRPr="00A85EFB" w:rsidRDefault="00090927" w:rsidP="00090927">
      <w:pPr>
        <w:ind w:left="1620"/>
        <w:contextualSpacing/>
        <w:jc w:val="both"/>
        <w:rPr>
          <w:sz w:val="22"/>
          <w:szCs w:val="22"/>
        </w:rPr>
      </w:pPr>
      <w:r w:rsidRPr="00A85EFB">
        <w:rPr>
          <w:sz w:val="22"/>
          <w:szCs w:val="22"/>
        </w:rPr>
        <w:t xml:space="preserve">In response, Employee alleged that her arrest was improper. She averred that Agency’s termination action was taken prematurely because the criminal charges were ultimately dismissed. With respect to the charge of unethical or improper use of official authority or credentials, Employee argued that members of the Metropolitan Police Department </w:t>
      </w:r>
      <w:r w:rsidRPr="00A85EFB">
        <w:rPr>
          <w:sz w:val="22"/>
          <w:szCs w:val="22"/>
        </w:rPr>
        <w:lastRenderedPageBreak/>
        <w:t>were trained to disclose that they are affiliated with the Department when encountered by law enforcement. Thus, Employee opined that her termination was improper.</w:t>
      </w:r>
    </w:p>
    <w:p w14:paraId="105ADA0E" w14:textId="77777777" w:rsidR="00090927" w:rsidRPr="00090927" w:rsidRDefault="00090927" w:rsidP="00090927">
      <w:pPr>
        <w:contextualSpacing/>
        <w:jc w:val="both"/>
        <w:rPr>
          <w:sz w:val="12"/>
          <w:szCs w:val="12"/>
        </w:rPr>
      </w:pPr>
    </w:p>
    <w:p w14:paraId="086C181E" w14:textId="77777777" w:rsidR="00090927" w:rsidRPr="00A85EFB" w:rsidRDefault="00090927" w:rsidP="00090927">
      <w:pPr>
        <w:ind w:left="1620"/>
        <w:contextualSpacing/>
        <w:jc w:val="both"/>
        <w:rPr>
          <w:sz w:val="22"/>
          <w:szCs w:val="22"/>
        </w:rPr>
      </w:pPr>
      <w:r w:rsidRPr="00A85EFB">
        <w:rPr>
          <w:sz w:val="22"/>
          <w:szCs w:val="22"/>
        </w:rPr>
        <w:t>The AJ issued an Initial Decision on September 5, 2025. First, she held that Agency established cause to discipline Employee for Conduct Prejudicial to the District Government (Charge No. 1) pursuant to 6-B DCMR § 1607.2(a)(3) because it was undisputed that Employee was arrested and indicted on four felonies that were directly related to Agency’s mission and Employee’s job duties. The AJ similarly held that Agency met its burden of proof with respect to Charge No. 2 because Employee was aware that firearms are required to be registered in the District of Columbia; there was an identifiable nexus between Employee’s off-duty misconduct and her position with Agency; and Employee’s misconduct adversely affected Agency’s mission to safeguard the District, its residents, and visitors. As it related to Charge No. 3, she concluded that Agency lacked cause to discipline Employee for a violation of 6-B DCMR § 1607.2(a)(9). The AJ reasoned that the evidence failed to establish that Employee attempted to curry favor with the responding officer during the July 17, 2022, traffic stop; there was no indication that Employee would have avoided arrest had she been allowed to call her captain; and Employee was still arrested after officers located her civilian job identification. Therefore, she ruled that Agency could only discipline Employee for Charges Nos. 1 and 2.</w:t>
      </w:r>
    </w:p>
    <w:p w14:paraId="35E5DFE3" w14:textId="77777777" w:rsidR="00090927" w:rsidRPr="00090927" w:rsidRDefault="00090927" w:rsidP="00090927">
      <w:pPr>
        <w:contextualSpacing/>
        <w:jc w:val="both"/>
        <w:rPr>
          <w:sz w:val="12"/>
          <w:szCs w:val="12"/>
        </w:rPr>
      </w:pPr>
    </w:p>
    <w:p w14:paraId="4ECAC8A7" w14:textId="77777777" w:rsidR="00090927" w:rsidRPr="00A85EFB" w:rsidRDefault="00090927" w:rsidP="00090927">
      <w:pPr>
        <w:ind w:left="1620"/>
        <w:contextualSpacing/>
        <w:jc w:val="both"/>
        <w:rPr>
          <w:sz w:val="22"/>
          <w:szCs w:val="22"/>
        </w:rPr>
      </w:pPr>
      <w:r w:rsidRPr="00A85EFB">
        <w:rPr>
          <w:sz w:val="22"/>
          <w:szCs w:val="22"/>
        </w:rPr>
        <w:t>Concerning the penalty, the AJ held that a first-time violation of 6-B DCMR §1607.2(a)(3) under the Table of Illustrative Actions (“TIA”) was limited to placement on enforced leave pending criminal prosecution. As for Charge No. 2, she concluded that the maximum penalty for a first violation of 6-B DCMR § 1607.2(a)(5) was a thirty-day suspension. Because termination exceeded what was permissible under the Table of Illustrative Actions, the AJ reversed Employee’s termination; modified Charge No. 1 to impose Employee’s enforced leave from March 6, 2023, to January 27, 2025; and reduced the penalty for Charge No. 2 to a thirty-day suspension.</w:t>
      </w:r>
    </w:p>
    <w:p w14:paraId="5480898E" w14:textId="77777777" w:rsidR="00090927" w:rsidRPr="00090927" w:rsidRDefault="00090927" w:rsidP="00090927">
      <w:pPr>
        <w:contextualSpacing/>
        <w:jc w:val="both"/>
        <w:rPr>
          <w:sz w:val="12"/>
          <w:szCs w:val="12"/>
        </w:rPr>
      </w:pPr>
    </w:p>
    <w:p w14:paraId="6229F316" w14:textId="77777777" w:rsidR="00090927" w:rsidRPr="00A85EFB" w:rsidRDefault="00090927" w:rsidP="00090927">
      <w:pPr>
        <w:ind w:left="1620"/>
        <w:contextualSpacing/>
        <w:jc w:val="both"/>
        <w:rPr>
          <w:sz w:val="22"/>
          <w:szCs w:val="22"/>
        </w:rPr>
      </w:pPr>
      <w:r w:rsidRPr="00A85EFB">
        <w:rPr>
          <w:sz w:val="22"/>
          <w:szCs w:val="22"/>
        </w:rPr>
        <w:t>Agency sought review of the Initial Decision with the OEA Board on October 7, 2025. It argues that the AJ erred by entirely failing to address its argument that Employee violated 6-B DCMR § 1605.5(a) as it relates to prejudicial conduct under Charge No. 1. Agency further submits that the AJ failed to address whether termination was the appropriate penalty under § 1605.5(a), which it suggests the evidence overwhelmingly supports. While it agrees with the AJ’s conclusion that Charge No. 2 is supported by cause, Agency disagrees with her conclusion that a thirty-day suspension was the maximum penalty that could be imposed. Finally, Agency opines that the AJ erroneously concluded that it failed to meet the burden of proof for Charge No. 3 because it was not required to prove that Employee would have received favor or avoided being arrested had she been allowed to call her captain. As a result, Agency asks the Board to grant its Petition for Review.</w:t>
      </w:r>
    </w:p>
    <w:p w14:paraId="7E5F7F69" w14:textId="77777777" w:rsidR="00090927" w:rsidRPr="00090927" w:rsidRDefault="00090927" w:rsidP="00090927">
      <w:pPr>
        <w:rPr>
          <w:sz w:val="12"/>
          <w:szCs w:val="12"/>
        </w:rPr>
      </w:pPr>
    </w:p>
    <w:p w14:paraId="75E19CF7" w14:textId="79DDA97A" w:rsidR="000D72D5" w:rsidRPr="00897A66" w:rsidRDefault="00501CA6" w:rsidP="000D72D5">
      <w:pPr>
        <w:pStyle w:val="ListParagraph"/>
        <w:numPr>
          <w:ilvl w:val="2"/>
          <w:numId w:val="1"/>
        </w:numPr>
        <w:jc w:val="both"/>
        <w:rPr>
          <w:sz w:val="22"/>
          <w:szCs w:val="22"/>
        </w:rPr>
      </w:pPr>
      <w:r w:rsidRPr="00897A66">
        <w:rPr>
          <w:b/>
          <w:bCs/>
          <w:sz w:val="22"/>
          <w:szCs w:val="22"/>
        </w:rPr>
        <w:t xml:space="preserve">Employee v. D.C. </w:t>
      </w:r>
      <w:r w:rsidR="00933970" w:rsidRPr="00897A66">
        <w:rPr>
          <w:b/>
          <w:bCs/>
          <w:sz w:val="22"/>
          <w:szCs w:val="22"/>
        </w:rPr>
        <w:t xml:space="preserve">Commission on Judicial </w:t>
      </w:r>
      <w:r w:rsidR="00ED6E16" w:rsidRPr="00897A66">
        <w:rPr>
          <w:b/>
          <w:bCs/>
          <w:sz w:val="22"/>
          <w:szCs w:val="22"/>
        </w:rPr>
        <w:t>Disabilities</w:t>
      </w:r>
      <w:r w:rsidR="008557E1" w:rsidRPr="00897A66">
        <w:rPr>
          <w:b/>
          <w:bCs/>
          <w:sz w:val="22"/>
          <w:szCs w:val="22"/>
        </w:rPr>
        <w:t xml:space="preserve"> and Tenure</w:t>
      </w:r>
      <w:r w:rsidRPr="00897A66">
        <w:rPr>
          <w:b/>
          <w:bCs/>
          <w:sz w:val="22"/>
          <w:szCs w:val="22"/>
        </w:rPr>
        <w:t xml:space="preserve">, OEA Matter No. </w:t>
      </w:r>
      <w:r w:rsidR="00FF1CA1" w:rsidRPr="00897A66">
        <w:rPr>
          <w:b/>
          <w:bCs/>
          <w:sz w:val="22"/>
          <w:szCs w:val="22"/>
        </w:rPr>
        <w:t>J</w:t>
      </w:r>
      <w:r w:rsidRPr="00897A66">
        <w:rPr>
          <w:b/>
          <w:bCs/>
          <w:sz w:val="22"/>
          <w:szCs w:val="22"/>
        </w:rPr>
        <w:t>-00</w:t>
      </w:r>
      <w:r w:rsidR="00FF1CA1" w:rsidRPr="00897A66">
        <w:rPr>
          <w:b/>
          <w:bCs/>
          <w:sz w:val="22"/>
          <w:szCs w:val="22"/>
        </w:rPr>
        <w:t>23</w:t>
      </w:r>
      <w:r w:rsidRPr="00897A66">
        <w:rPr>
          <w:b/>
          <w:bCs/>
          <w:sz w:val="22"/>
          <w:szCs w:val="22"/>
        </w:rPr>
        <w:t>-25</w:t>
      </w:r>
      <w:r w:rsidR="00A8441A" w:rsidRPr="00897A66">
        <w:rPr>
          <w:b/>
          <w:bCs/>
          <w:sz w:val="22"/>
          <w:szCs w:val="22"/>
        </w:rPr>
        <w:t xml:space="preserve"> </w:t>
      </w:r>
      <w:r w:rsidRPr="00897A66">
        <w:rPr>
          <w:sz w:val="22"/>
          <w:szCs w:val="22"/>
        </w:rPr>
        <w:t>—</w:t>
      </w:r>
      <w:r w:rsidR="000D72D5" w:rsidRPr="00897A66">
        <w:rPr>
          <w:sz w:val="22"/>
          <w:szCs w:val="22"/>
        </w:rPr>
        <w:t xml:space="preserve"> Employee worked as an Administrative Officer with the D.C. Commission on Judicial Disabilities and Tenure (“Agency” or “CJDT”). On January 15, 2024, Agency issued Employee a notice titled “Termination During Probationary Period.” The notice placed Employee on administrative leave and provided that she was being terminated based on her probationary status. Employee’s removal became effective on January 15, 2025.</w:t>
      </w:r>
    </w:p>
    <w:p w14:paraId="6B4F9FBF" w14:textId="77777777" w:rsidR="000D72D5" w:rsidRPr="00176979" w:rsidRDefault="000D72D5" w:rsidP="000D72D5">
      <w:pPr>
        <w:contextualSpacing/>
        <w:jc w:val="both"/>
        <w:rPr>
          <w:sz w:val="12"/>
          <w:szCs w:val="12"/>
        </w:rPr>
      </w:pPr>
    </w:p>
    <w:p w14:paraId="68B05181" w14:textId="77777777" w:rsidR="000D72D5" w:rsidRPr="00EF6376" w:rsidRDefault="000D72D5" w:rsidP="00897A66">
      <w:pPr>
        <w:ind w:left="1620"/>
        <w:contextualSpacing/>
        <w:jc w:val="both"/>
        <w:rPr>
          <w:sz w:val="22"/>
          <w:szCs w:val="22"/>
        </w:rPr>
      </w:pPr>
      <w:r w:rsidRPr="00EF6376">
        <w:rPr>
          <w:sz w:val="22"/>
          <w:szCs w:val="22"/>
        </w:rPr>
        <w:t xml:space="preserve">Employee filed a Petition for Review with the Office of Employee Appeals (“OEA”) on February 18, 2025. She argued that her due process rights as a Career Service employee </w:t>
      </w:r>
      <w:r w:rsidRPr="00EF6376">
        <w:rPr>
          <w:sz w:val="22"/>
          <w:szCs w:val="22"/>
        </w:rPr>
        <w:lastRenderedPageBreak/>
        <w:t>were violated; Agency violated the D.C. Whistleblower Protection Act; and Agency’s Executive Director lacked the authority to make decisions on behalf of the CJDT without approval from the Commission. As a result, Employee requested reinstatement to her previous position, recovery of lost wages, pre and post-judgment interest on damages, injunctive relief, and compensatory damages.</w:t>
      </w:r>
    </w:p>
    <w:p w14:paraId="4F33AA17" w14:textId="77777777" w:rsidR="000D72D5" w:rsidRPr="00176979" w:rsidRDefault="000D72D5" w:rsidP="000D72D5">
      <w:pPr>
        <w:contextualSpacing/>
        <w:jc w:val="both"/>
        <w:rPr>
          <w:sz w:val="12"/>
          <w:szCs w:val="12"/>
        </w:rPr>
      </w:pPr>
    </w:p>
    <w:p w14:paraId="0C11013C" w14:textId="77777777" w:rsidR="000D72D5" w:rsidRPr="00EF6376" w:rsidRDefault="000D72D5" w:rsidP="00897A66">
      <w:pPr>
        <w:ind w:left="1620"/>
        <w:contextualSpacing/>
        <w:jc w:val="both"/>
        <w:rPr>
          <w:sz w:val="22"/>
          <w:szCs w:val="22"/>
        </w:rPr>
      </w:pPr>
      <w:r w:rsidRPr="00EF6376">
        <w:rPr>
          <w:sz w:val="22"/>
          <w:szCs w:val="22"/>
        </w:rPr>
        <w:t xml:space="preserve">On March 20, 2025, Agency filed an Answer and Motion to Dismiss for Lack of Jurisdiction. It contended that OEA lacked jurisdiction over Employee’s appeal because she was serving in a probationary status at the time of removal. According to Agency, Chapter 6-B, Section 223.2 of the D.C. Municipal Regulations (“DCMR”) mandated that Employee serve a one-year probationary period and Employee agreed to serve a probationary period when she signed its offer letter which reflected the terms and conditions of employment. Thus, it reasoned that in accordance with 6-B DCMR § 227.4, termination during Employee’s probationary period was neither appealable nor </w:t>
      </w:r>
      <w:proofErr w:type="spellStart"/>
      <w:r w:rsidRPr="00EF6376">
        <w:rPr>
          <w:sz w:val="22"/>
          <w:szCs w:val="22"/>
        </w:rPr>
        <w:t>greivable</w:t>
      </w:r>
      <w:proofErr w:type="spellEnd"/>
      <w:r w:rsidRPr="00EF6376">
        <w:rPr>
          <w:sz w:val="22"/>
          <w:szCs w:val="22"/>
        </w:rPr>
        <w:t>. Therefore, it asked that Employee’s petition be dismissed for lack of jurisdiction.</w:t>
      </w:r>
    </w:p>
    <w:p w14:paraId="03691C37" w14:textId="77777777" w:rsidR="000D72D5" w:rsidRPr="00176979" w:rsidRDefault="000D72D5" w:rsidP="000D72D5">
      <w:pPr>
        <w:contextualSpacing/>
        <w:jc w:val="both"/>
        <w:rPr>
          <w:sz w:val="12"/>
          <w:szCs w:val="12"/>
        </w:rPr>
      </w:pPr>
    </w:p>
    <w:p w14:paraId="726C0D0B" w14:textId="77777777" w:rsidR="000D72D5" w:rsidRPr="00EF6376" w:rsidRDefault="000D72D5" w:rsidP="00897A66">
      <w:pPr>
        <w:ind w:left="1620"/>
        <w:contextualSpacing/>
        <w:jc w:val="both"/>
        <w:rPr>
          <w:sz w:val="22"/>
          <w:szCs w:val="22"/>
        </w:rPr>
      </w:pPr>
      <w:r w:rsidRPr="00EF6376">
        <w:rPr>
          <w:sz w:val="22"/>
          <w:szCs w:val="22"/>
        </w:rPr>
        <w:t xml:space="preserve">On March 24, 2025, the OEA Administrative Judge (“AJ”) issued an order directing Employee to address whether her appeal should be dismissed for lack of jurisdiction. Employee’s brief reiterated her claim that Agency’s termination action was taken without cause because she was in permanent, Career Service status at the time of termination. Additionally, Employee submitted that she already completed a twelve-month probationary period with the Department of Employment Services (“DOES”) in 2013. As a result, she maintained that her initial appointment with Agency was a “Career Service-Promotion” that did not require an additional probationary period. </w:t>
      </w:r>
    </w:p>
    <w:p w14:paraId="363D5F80" w14:textId="77777777" w:rsidR="000D72D5" w:rsidRPr="00176979" w:rsidRDefault="000D72D5" w:rsidP="000D72D5">
      <w:pPr>
        <w:contextualSpacing/>
        <w:jc w:val="both"/>
        <w:rPr>
          <w:sz w:val="12"/>
          <w:szCs w:val="12"/>
        </w:rPr>
      </w:pPr>
    </w:p>
    <w:p w14:paraId="6B8578C1" w14:textId="77777777" w:rsidR="000D72D5" w:rsidRPr="00EF6376" w:rsidRDefault="000D72D5" w:rsidP="00897A66">
      <w:pPr>
        <w:ind w:left="1620"/>
        <w:contextualSpacing/>
        <w:jc w:val="both"/>
        <w:rPr>
          <w:sz w:val="22"/>
          <w:szCs w:val="22"/>
        </w:rPr>
      </w:pPr>
      <w:r w:rsidRPr="00EF6376">
        <w:rPr>
          <w:sz w:val="22"/>
          <w:szCs w:val="22"/>
        </w:rPr>
        <w:t>Additionally, Employee averred that the pre-employment language in her offer letter did not supersede District regulations governing tenure status. She further asserted that a written waiver was required to be signed before Agency could impose a new probationary period, which did not occur in this case. Employee noted that the tenure code on her official personnel records reflected that she obtained permanent, Career Service status with full employment rights and protections. As such, Employee opined that her appeal was properly before OEA.</w:t>
      </w:r>
    </w:p>
    <w:p w14:paraId="7A767A59" w14:textId="77777777" w:rsidR="000D72D5" w:rsidRPr="00897A66" w:rsidRDefault="000D72D5" w:rsidP="000D72D5">
      <w:pPr>
        <w:contextualSpacing/>
        <w:jc w:val="both"/>
        <w:rPr>
          <w:sz w:val="12"/>
          <w:szCs w:val="12"/>
        </w:rPr>
      </w:pPr>
    </w:p>
    <w:p w14:paraId="2E409A73" w14:textId="77777777" w:rsidR="000D72D5" w:rsidRPr="00EF6376" w:rsidRDefault="000D72D5" w:rsidP="00897A66">
      <w:pPr>
        <w:ind w:left="1620"/>
        <w:contextualSpacing/>
        <w:jc w:val="both"/>
        <w:rPr>
          <w:sz w:val="22"/>
          <w:szCs w:val="22"/>
        </w:rPr>
      </w:pPr>
      <w:r w:rsidRPr="00EF6376">
        <w:rPr>
          <w:sz w:val="22"/>
          <w:szCs w:val="22"/>
        </w:rPr>
        <w:t xml:space="preserve">In response, Agency reiterated that OEA has consistently held that it lacks jurisdiction to adjudicate appeals filed by probationary employees. It explained that D.C. Code §§ 11-1521 </w:t>
      </w:r>
      <w:r w:rsidRPr="00EF6376">
        <w:rPr>
          <w:i/>
          <w:iCs/>
          <w:sz w:val="22"/>
          <w:szCs w:val="22"/>
        </w:rPr>
        <w:t>et seq</w:t>
      </w:r>
      <w:r w:rsidRPr="00EF6376">
        <w:rPr>
          <w:sz w:val="22"/>
          <w:szCs w:val="22"/>
        </w:rPr>
        <w:t>. (the “Reorganization Act”) and 1-204.31(d)(4) established CJDT as an independent District agency with independent personnel authority, not subject the provisions in the D.C. Code or regulations governing appointment and classification of District employees. Agency contended that it was statutorily permitted to appoint and fix compensation for employees as it saw fit, which included the probationary classification that Employee sought to challenge before OEA. Next, it noted that Employee sought and voluntarily agreed to serve a one-year probationary term when she signed two written offers of employment after actively seeking and applying to the position of Administrative Officer. Consequently, Agency opined that Employee’s arguments in support of jurisdiction were rendered inapposite because of CJDT’s independent authority.</w:t>
      </w:r>
      <w:r w:rsidRPr="00EF6376">
        <w:rPr>
          <w:rStyle w:val="FootnoteReference"/>
          <w:sz w:val="22"/>
          <w:szCs w:val="22"/>
        </w:rPr>
        <w:t xml:space="preserve"> </w:t>
      </w:r>
    </w:p>
    <w:p w14:paraId="7F71F9D3" w14:textId="77777777" w:rsidR="000D72D5" w:rsidRPr="00897A66" w:rsidRDefault="000D72D5" w:rsidP="000D72D5">
      <w:pPr>
        <w:contextualSpacing/>
        <w:jc w:val="both"/>
        <w:rPr>
          <w:sz w:val="12"/>
          <w:szCs w:val="12"/>
        </w:rPr>
      </w:pPr>
    </w:p>
    <w:p w14:paraId="528A21DE" w14:textId="77777777" w:rsidR="000D72D5" w:rsidRPr="00EF6376" w:rsidRDefault="000D72D5" w:rsidP="00897A66">
      <w:pPr>
        <w:ind w:left="1620"/>
        <w:contextualSpacing/>
        <w:jc w:val="both"/>
        <w:rPr>
          <w:sz w:val="22"/>
          <w:szCs w:val="22"/>
        </w:rPr>
      </w:pPr>
      <w:r w:rsidRPr="00EF6376">
        <w:rPr>
          <w:sz w:val="22"/>
          <w:szCs w:val="22"/>
        </w:rPr>
        <w:t xml:space="preserve">Alternatively, it suggested that even if CJDT were not an independent District agency, Employee’s voluntary offer agreement controlled, which included a provision that a one-year probationary period was required for the position. Because Employee agreed to serve a new probationary period, and was terminated prior to the expiration of the period, Agency maintained that OEA lacked jurisdiction to adjudicate her substantive </w:t>
      </w:r>
      <w:r w:rsidRPr="00EF6376">
        <w:rPr>
          <w:sz w:val="22"/>
          <w:szCs w:val="22"/>
        </w:rPr>
        <w:lastRenderedPageBreak/>
        <w:t xml:space="preserve">arguments. Consequently, it requested that her appeal be dismissed. </w:t>
      </w:r>
    </w:p>
    <w:p w14:paraId="18421233" w14:textId="77777777" w:rsidR="000D72D5" w:rsidRPr="00897A66" w:rsidRDefault="000D72D5" w:rsidP="000D72D5">
      <w:pPr>
        <w:contextualSpacing/>
        <w:jc w:val="both"/>
        <w:rPr>
          <w:sz w:val="12"/>
          <w:szCs w:val="12"/>
        </w:rPr>
      </w:pPr>
    </w:p>
    <w:p w14:paraId="39C0EC1E" w14:textId="77777777" w:rsidR="000D72D5" w:rsidRPr="00EF6376" w:rsidRDefault="000D72D5" w:rsidP="00897A66">
      <w:pPr>
        <w:ind w:left="1620"/>
        <w:contextualSpacing/>
        <w:jc w:val="both"/>
        <w:rPr>
          <w:sz w:val="22"/>
          <w:szCs w:val="22"/>
        </w:rPr>
      </w:pPr>
      <w:r w:rsidRPr="00EF6376">
        <w:rPr>
          <w:sz w:val="22"/>
          <w:szCs w:val="22"/>
        </w:rPr>
        <w:t>The AJ issued an Initial Decision on August 25, 2025. First, she highlighted that the Reorganization Act of 1970, codified in D.C. Code § 11-1525, established CJDT as an independent agency with independent personnel authority, not subject to the administrative control of the Mayor. She explained that Agency was not bound by the provisions in the District of Columbia Code or the District Personnel Manual (“DPM”) regulations governing appointment and classification of employees. Therefore, she concluded that Agency was permitted to require Employee to complete a one-year probationary period and to classify her position as “Career-Probationary” when she was hired.</w:t>
      </w:r>
    </w:p>
    <w:p w14:paraId="392F2094" w14:textId="77777777" w:rsidR="000D72D5" w:rsidRPr="00897A66" w:rsidRDefault="000D72D5" w:rsidP="000D72D5">
      <w:pPr>
        <w:contextualSpacing/>
        <w:jc w:val="both"/>
        <w:rPr>
          <w:sz w:val="12"/>
          <w:szCs w:val="12"/>
        </w:rPr>
      </w:pPr>
    </w:p>
    <w:p w14:paraId="600193E6" w14:textId="77777777" w:rsidR="000D72D5" w:rsidRPr="00EF6376" w:rsidRDefault="000D72D5" w:rsidP="00897A66">
      <w:pPr>
        <w:ind w:left="1620"/>
        <w:contextualSpacing/>
        <w:jc w:val="both"/>
        <w:rPr>
          <w:sz w:val="22"/>
          <w:szCs w:val="22"/>
        </w:rPr>
      </w:pPr>
      <w:r w:rsidRPr="00EF6376">
        <w:rPr>
          <w:sz w:val="22"/>
          <w:szCs w:val="22"/>
        </w:rPr>
        <w:t>Alternatively, the AJ ruled that assuming Employee could establish that CJDT was subject to the personnel authority to the Mayor, she was nonetheless deemed probationary at the time of her removal pursuant to Chapter 2, Section 227.4 of the DPM. She clarified that the Standard Form 50 (“SF-50”) was the legally binding personnel record to determine tenure status; Employee’s offer letter explicitly stated that a one-year probationary period was required; Employee’s SF-50 provided that she was hired into a “Career Service-Probation” position; and Employee was terminated on January 29, 2025, during her probationary period. Moreover, she explained that pursuant DPM § 226.2, Employee was required to serve another probationary period with CJDT because the Administrative Officer position was acquired through open competition and because the job duties were substantially different from those at her previous position with DOES. As a result, the AJ ruled that Employee’s removal during her probationary period precluded her from appealing Agency’s termination action to OEA. Therefore, Employee’s appeal was dismissed for lack of jurisdiction.</w:t>
      </w:r>
    </w:p>
    <w:p w14:paraId="3793B8FE" w14:textId="77777777" w:rsidR="000D72D5" w:rsidRPr="00897A66" w:rsidRDefault="000D72D5" w:rsidP="000D72D5">
      <w:pPr>
        <w:contextualSpacing/>
        <w:jc w:val="both"/>
        <w:rPr>
          <w:sz w:val="12"/>
          <w:szCs w:val="12"/>
        </w:rPr>
      </w:pPr>
    </w:p>
    <w:p w14:paraId="392CCB54" w14:textId="77777777" w:rsidR="000D72D5" w:rsidRPr="00EF6376" w:rsidRDefault="000D72D5" w:rsidP="00897A66">
      <w:pPr>
        <w:ind w:left="1620"/>
        <w:contextualSpacing/>
        <w:jc w:val="both"/>
        <w:rPr>
          <w:sz w:val="22"/>
          <w:szCs w:val="22"/>
        </w:rPr>
      </w:pPr>
      <w:r w:rsidRPr="00EF6376">
        <w:rPr>
          <w:sz w:val="22"/>
          <w:szCs w:val="22"/>
        </w:rPr>
        <w:t xml:space="preserve">Employee filed a Petition for Review with the OEA Board on September 29, 2025. She argues that DPM §§ 100.3 and 100.4 requires Agency to follow the DPM regulations relative to probationary periods through both formal adoption and express agreement. She avers that classification of the Administrative Officer position as probationary was a decision entrusted to the D.C. Department of Human Resources (“DCHR”), not CJDT; Agency’s statutory authority to classify employees is limited to classification under Chapter 11 of the DPM; and DPM §§ 231.3, 237.2, and 237.4 require a written waiver from employees before a new probationary period can be imposed. Additionally, Employee claims that her hire constituted a transfer and promotion that preserved her Career Service status. She further argues that Agency’s independent hiring authority only applies to the hiring of non-District employees; the AJ erred by failing to request copies of the Memorandum of Understanding (“MOU”) between CJDT and DCHR; and the AJ misapplied DPM § 226.2(c) in finding that the Administrative Officer position was substantially different from her position with DOES. Thus, Employee asks the Board to grant her Petition for Review. </w:t>
      </w:r>
    </w:p>
    <w:p w14:paraId="0681344E" w14:textId="77777777" w:rsidR="000D72D5" w:rsidRPr="00897A66" w:rsidRDefault="000D72D5" w:rsidP="000D72D5">
      <w:pPr>
        <w:contextualSpacing/>
        <w:jc w:val="both"/>
        <w:rPr>
          <w:sz w:val="12"/>
          <w:szCs w:val="12"/>
        </w:rPr>
      </w:pPr>
    </w:p>
    <w:p w14:paraId="25C03F32" w14:textId="77777777" w:rsidR="000D72D5" w:rsidRPr="00EF6376" w:rsidRDefault="000D72D5" w:rsidP="00897A66">
      <w:pPr>
        <w:ind w:left="1620"/>
        <w:contextualSpacing/>
        <w:jc w:val="both"/>
        <w:rPr>
          <w:b/>
          <w:bCs/>
          <w:sz w:val="22"/>
          <w:szCs w:val="22"/>
        </w:rPr>
      </w:pPr>
      <w:r w:rsidRPr="00EF6376">
        <w:rPr>
          <w:sz w:val="22"/>
          <w:szCs w:val="22"/>
        </w:rPr>
        <w:t xml:space="preserve">In response, Agency’s primary argument is jurisdictional: OEA lacks the authority to adjudicate Employee’s appeal because she was probationary at the time of removal. It reiterates that CJDT is an independent administrative body with independent hiring and personnel authority. Agency also asserts that CJDT is not required to follow the DPM when hiring staff; CJDT’s classification of Employee’s position as probationary was not a decision for DCHR to make; and Employee has failed to demonstrate that the MOU between Agency and DCHR subjected it to the terms and conditions of the DPM in contravention of D.C. Code § 11-1525(b). It clarifies that Employee’s Career Service status and probationary status are not mutually exclusive, and her hire with CJDT nonetheless required a new probationary period. Agency alternatively suggests that even </w:t>
      </w:r>
      <w:r w:rsidRPr="00EF6376">
        <w:rPr>
          <w:sz w:val="22"/>
          <w:szCs w:val="22"/>
        </w:rPr>
        <w:lastRenderedPageBreak/>
        <w:t>without independent hiring authority, it was authorized to designate Employee as probationary. Finally, it avers that Employee’s citations to any material on Petition for Review that were not submitted to the AJ before the record closed are improper for consideration before the OEA Board. Accordingly, Agency maintains that the AJ properly dismissed Employee’s appeal for lack of jurisdiction.</w:t>
      </w:r>
    </w:p>
    <w:p w14:paraId="776196C3" w14:textId="77777777" w:rsidR="000D72D5" w:rsidRPr="000D72D5" w:rsidRDefault="000D72D5" w:rsidP="000D72D5">
      <w:pPr>
        <w:ind w:left="1260"/>
        <w:jc w:val="both"/>
        <w:rPr>
          <w:sz w:val="12"/>
          <w:szCs w:val="12"/>
        </w:rPr>
      </w:pPr>
    </w:p>
    <w:p w14:paraId="7C6765A7" w14:textId="77777777" w:rsidR="00C579AF" w:rsidRPr="00C579AF" w:rsidRDefault="00501CA6" w:rsidP="00C579AF">
      <w:pPr>
        <w:widowControl/>
        <w:numPr>
          <w:ilvl w:val="1"/>
          <w:numId w:val="1"/>
        </w:numPr>
        <w:tabs>
          <w:tab w:val="clear" w:pos="1440"/>
        </w:tabs>
        <w:ind w:left="-90" w:firstLine="360"/>
        <w:contextualSpacing/>
        <w:jc w:val="both"/>
        <w:rPr>
          <w:rFonts w:eastAsia="SimSun"/>
          <w:b/>
          <w:sz w:val="22"/>
          <w:szCs w:val="22"/>
          <w:lang w:eastAsia="zh-CN"/>
        </w:rPr>
      </w:pPr>
      <w:r w:rsidRPr="00F61428">
        <w:rPr>
          <w:rFonts w:eastAsia="SimSun"/>
          <w:b/>
          <w:sz w:val="22"/>
          <w:szCs w:val="22"/>
          <w:lang w:eastAsia="zh-CN"/>
        </w:rPr>
        <w:t xml:space="preserve">Deliberations </w:t>
      </w:r>
      <w:r w:rsidRPr="00F61428">
        <w:rPr>
          <w:rFonts w:eastAsia="SimSun"/>
          <w:sz w:val="22"/>
          <w:szCs w:val="22"/>
          <w:lang w:eastAsia="zh-CN"/>
        </w:rPr>
        <w:t xml:space="preserve">– This portion of the meeting will be closed to the public for deliberations </w:t>
      </w:r>
      <w:r w:rsidRPr="00C579AF">
        <w:rPr>
          <w:rFonts w:eastAsia="SimSun"/>
          <w:sz w:val="22"/>
          <w:szCs w:val="22"/>
          <w:lang w:eastAsia="zh-CN"/>
        </w:rPr>
        <w:t xml:space="preserve">in </w:t>
      </w:r>
    </w:p>
    <w:p w14:paraId="15289FE4" w14:textId="28E1E052" w:rsidR="00501CA6" w:rsidRPr="00C579AF" w:rsidRDefault="00501CA6" w:rsidP="00C579AF">
      <w:pPr>
        <w:widowControl/>
        <w:ind w:left="720"/>
        <w:contextualSpacing/>
        <w:jc w:val="both"/>
        <w:rPr>
          <w:rFonts w:eastAsia="SimSun"/>
          <w:b/>
          <w:sz w:val="22"/>
          <w:szCs w:val="22"/>
          <w:lang w:eastAsia="zh-CN"/>
        </w:rPr>
      </w:pPr>
      <w:r w:rsidRPr="00C579AF">
        <w:rPr>
          <w:rFonts w:eastAsia="SimSun"/>
          <w:sz w:val="22"/>
          <w:szCs w:val="22"/>
          <w:lang w:eastAsia="zh-CN"/>
        </w:rPr>
        <w:t xml:space="preserve">accordance with D.C. Code § 2-575(b)(13).  </w:t>
      </w:r>
    </w:p>
    <w:p w14:paraId="528A9FA8" w14:textId="77777777" w:rsidR="00501CA6" w:rsidRPr="003945A9" w:rsidRDefault="00501CA6" w:rsidP="00501CA6">
      <w:pPr>
        <w:ind w:left="270" w:firstLine="450"/>
        <w:contextualSpacing/>
        <w:jc w:val="both"/>
        <w:rPr>
          <w:rFonts w:eastAsia="SimSun"/>
          <w:b/>
          <w:sz w:val="12"/>
          <w:szCs w:val="12"/>
          <w:lang w:eastAsia="zh-CN"/>
        </w:rPr>
      </w:pPr>
      <w:r w:rsidRPr="00F61428">
        <w:rPr>
          <w:rFonts w:eastAsia="SimSun"/>
          <w:sz w:val="22"/>
          <w:szCs w:val="22"/>
          <w:lang w:eastAsia="zh-CN"/>
        </w:rPr>
        <w:t xml:space="preserve">         </w:t>
      </w:r>
    </w:p>
    <w:p w14:paraId="2B1BC1DB" w14:textId="77777777" w:rsidR="00501CA6" w:rsidRPr="00F61428" w:rsidRDefault="00501CA6" w:rsidP="00501CA6">
      <w:pPr>
        <w:widowControl/>
        <w:numPr>
          <w:ilvl w:val="1"/>
          <w:numId w:val="1"/>
        </w:numPr>
        <w:tabs>
          <w:tab w:val="clear" w:pos="1440"/>
          <w:tab w:val="num" w:pos="720"/>
        </w:tabs>
        <w:ind w:left="1170" w:hanging="900"/>
        <w:contextualSpacing/>
        <w:jc w:val="both"/>
        <w:rPr>
          <w:rFonts w:eastAsia="SimSun"/>
          <w:b/>
          <w:sz w:val="22"/>
          <w:szCs w:val="22"/>
          <w:lang w:eastAsia="zh-CN"/>
        </w:rPr>
      </w:pPr>
      <w:r w:rsidRPr="00F61428">
        <w:rPr>
          <w:rFonts w:eastAsia="SimSun"/>
          <w:b/>
          <w:sz w:val="22"/>
          <w:szCs w:val="22"/>
          <w:lang w:eastAsia="zh-CN"/>
        </w:rPr>
        <w:t>Open Portion Resumes</w:t>
      </w:r>
    </w:p>
    <w:p w14:paraId="62E8AF85" w14:textId="77777777" w:rsidR="00501CA6" w:rsidRPr="00F61428" w:rsidRDefault="00501CA6" w:rsidP="00501CA6">
      <w:pPr>
        <w:tabs>
          <w:tab w:val="num" w:pos="1080"/>
        </w:tabs>
        <w:ind w:left="1440" w:hanging="450"/>
        <w:contextualSpacing/>
        <w:jc w:val="both"/>
        <w:rPr>
          <w:rFonts w:eastAsia="SimSun"/>
          <w:b/>
          <w:sz w:val="12"/>
          <w:szCs w:val="12"/>
          <w:lang w:eastAsia="zh-CN"/>
        </w:rPr>
      </w:pPr>
    </w:p>
    <w:p w14:paraId="13A26DAA" w14:textId="77777777" w:rsidR="00501CA6" w:rsidRPr="00F61428" w:rsidRDefault="00501CA6" w:rsidP="00501CA6">
      <w:pPr>
        <w:widowControl/>
        <w:numPr>
          <w:ilvl w:val="1"/>
          <w:numId w:val="1"/>
        </w:numPr>
        <w:tabs>
          <w:tab w:val="clear" w:pos="1440"/>
          <w:tab w:val="num" w:pos="990"/>
        </w:tabs>
        <w:ind w:left="720" w:hanging="450"/>
        <w:contextualSpacing/>
        <w:jc w:val="both"/>
        <w:rPr>
          <w:rFonts w:eastAsia="SimSun"/>
          <w:b/>
          <w:sz w:val="22"/>
          <w:szCs w:val="22"/>
          <w:lang w:eastAsia="zh-CN"/>
        </w:rPr>
      </w:pPr>
      <w:r w:rsidRPr="00F61428">
        <w:rPr>
          <w:rFonts w:eastAsia="SimSun"/>
          <w:b/>
          <w:sz w:val="22"/>
          <w:szCs w:val="22"/>
          <w:lang w:eastAsia="zh-CN"/>
        </w:rPr>
        <w:t>Final Votes on Cases</w:t>
      </w:r>
    </w:p>
    <w:p w14:paraId="5955DF42" w14:textId="77777777" w:rsidR="00501CA6" w:rsidRPr="00F61428" w:rsidRDefault="00501CA6" w:rsidP="00501CA6">
      <w:pPr>
        <w:ind w:left="720" w:hanging="450"/>
        <w:contextualSpacing/>
        <w:rPr>
          <w:rFonts w:eastAsia="SimSun"/>
          <w:b/>
          <w:sz w:val="12"/>
          <w:szCs w:val="12"/>
          <w:lang w:eastAsia="zh-CN"/>
        </w:rPr>
      </w:pPr>
    </w:p>
    <w:p w14:paraId="4E62D246" w14:textId="77777777" w:rsidR="00501CA6" w:rsidRPr="00F61428" w:rsidRDefault="00501CA6" w:rsidP="00501CA6">
      <w:pPr>
        <w:widowControl/>
        <w:numPr>
          <w:ilvl w:val="1"/>
          <w:numId w:val="1"/>
        </w:numPr>
        <w:tabs>
          <w:tab w:val="clear" w:pos="1440"/>
          <w:tab w:val="left" w:pos="720"/>
          <w:tab w:val="num" w:pos="990"/>
        </w:tabs>
        <w:ind w:hanging="1170"/>
        <w:contextualSpacing/>
        <w:jc w:val="both"/>
        <w:rPr>
          <w:rFonts w:eastAsia="SimSun"/>
          <w:b/>
          <w:sz w:val="22"/>
          <w:szCs w:val="22"/>
          <w:lang w:eastAsia="zh-CN"/>
        </w:rPr>
      </w:pPr>
      <w:r w:rsidRPr="00F61428">
        <w:rPr>
          <w:rFonts w:eastAsia="SimSun"/>
          <w:b/>
          <w:sz w:val="22"/>
          <w:szCs w:val="22"/>
          <w:lang w:eastAsia="zh-CN"/>
        </w:rPr>
        <w:t>Public Comments</w:t>
      </w:r>
    </w:p>
    <w:p w14:paraId="4029A577" w14:textId="77777777" w:rsidR="00501CA6" w:rsidRPr="00F61428" w:rsidRDefault="00501CA6" w:rsidP="00501CA6">
      <w:pPr>
        <w:tabs>
          <w:tab w:val="left" w:pos="720"/>
        </w:tabs>
        <w:contextualSpacing/>
        <w:jc w:val="both"/>
        <w:rPr>
          <w:rFonts w:eastAsia="SimSun"/>
          <w:b/>
          <w:sz w:val="12"/>
          <w:szCs w:val="12"/>
          <w:lang w:eastAsia="zh-CN"/>
        </w:rPr>
      </w:pPr>
    </w:p>
    <w:p w14:paraId="18BD9E80" w14:textId="77777777" w:rsidR="00501CA6" w:rsidRPr="003945A9" w:rsidRDefault="00501CA6" w:rsidP="00501CA6">
      <w:pPr>
        <w:widowControl/>
        <w:numPr>
          <w:ilvl w:val="0"/>
          <w:numId w:val="1"/>
        </w:numPr>
        <w:tabs>
          <w:tab w:val="left" w:pos="720"/>
        </w:tabs>
        <w:ind w:left="540" w:hanging="540"/>
        <w:contextualSpacing/>
        <w:jc w:val="both"/>
        <w:rPr>
          <w:rFonts w:eastAsia="SimSun"/>
          <w:b/>
          <w:sz w:val="22"/>
          <w:szCs w:val="22"/>
          <w:lang w:eastAsia="zh-CN"/>
        </w:rPr>
      </w:pPr>
      <w:r w:rsidRPr="00F61428">
        <w:rPr>
          <w:rFonts w:eastAsia="SimSun"/>
          <w:b/>
          <w:sz w:val="22"/>
          <w:szCs w:val="22"/>
          <w:lang w:eastAsia="zh-CN"/>
        </w:rPr>
        <w:t xml:space="preserve">Adjournment </w:t>
      </w:r>
    </w:p>
    <w:p w14:paraId="3D7646ED" w14:textId="77777777" w:rsidR="00501CA6" w:rsidRDefault="00501CA6" w:rsidP="00501CA6">
      <w:pPr>
        <w:tabs>
          <w:tab w:val="left" w:pos="720"/>
        </w:tabs>
        <w:contextualSpacing/>
        <w:jc w:val="both"/>
        <w:rPr>
          <w:rFonts w:eastAsia="SimSun"/>
          <w:bCs/>
          <w:sz w:val="22"/>
          <w:szCs w:val="22"/>
          <w:lang w:eastAsia="zh-CN"/>
        </w:rPr>
      </w:pPr>
    </w:p>
    <w:p w14:paraId="77055C03" w14:textId="77777777" w:rsidR="00C579AF" w:rsidRDefault="00C579AF" w:rsidP="00501CA6">
      <w:pPr>
        <w:tabs>
          <w:tab w:val="left" w:pos="720"/>
        </w:tabs>
        <w:contextualSpacing/>
        <w:jc w:val="both"/>
        <w:rPr>
          <w:rFonts w:eastAsia="SimSun"/>
          <w:bCs/>
          <w:sz w:val="22"/>
          <w:szCs w:val="22"/>
          <w:lang w:eastAsia="zh-CN"/>
        </w:rPr>
      </w:pPr>
    </w:p>
    <w:p w14:paraId="7890249D" w14:textId="77777777" w:rsidR="00C579AF" w:rsidRDefault="00C579AF" w:rsidP="00501CA6">
      <w:pPr>
        <w:tabs>
          <w:tab w:val="left" w:pos="720"/>
        </w:tabs>
        <w:contextualSpacing/>
        <w:jc w:val="both"/>
        <w:rPr>
          <w:rFonts w:eastAsia="SimSun"/>
          <w:bCs/>
          <w:sz w:val="22"/>
          <w:szCs w:val="22"/>
          <w:lang w:eastAsia="zh-CN"/>
        </w:rPr>
      </w:pPr>
    </w:p>
    <w:p w14:paraId="51117CE8" w14:textId="77777777" w:rsidR="00C579AF" w:rsidRDefault="00C579AF" w:rsidP="00501CA6">
      <w:pPr>
        <w:tabs>
          <w:tab w:val="left" w:pos="720"/>
        </w:tabs>
        <w:contextualSpacing/>
        <w:jc w:val="both"/>
        <w:rPr>
          <w:rFonts w:eastAsia="SimSun"/>
          <w:bCs/>
          <w:sz w:val="22"/>
          <w:szCs w:val="22"/>
          <w:lang w:eastAsia="zh-CN"/>
        </w:rPr>
      </w:pPr>
    </w:p>
    <w:p w14:paraId="2162CA10" w14:textId="77777777" w:rsidR="00C579AF" w:rsidRDefault="00C579AF" w:rsidP="00501CA6">
      <w:pPr>
        <w:tabs>
          <w:tab w:val="left" w:pos="720"/>
        </w:tabs>
        <w:contextualSpacing/>
        <w:jc w:val="both"/>
        <w:rPr>
          <w:rFonts w:eastAsia="SimSun"/>
          <w:bCs/>
          <w:sz w:val="22"/>
          <w:szCs w:val="22"/>
          <w:lang w:eastAsia="zh-CN"/>
        </w:rPr>
      </w:pPr>
    </w:p>
    <w:p w14:paraId="0CA2CD87" w14:textId="77777777" w:rsidR="00C579AF" w:rsidRDefault="00C579AF" w:rsidP="00501CA6">
      <w:pPr>
        <w:tabs>
          <w:tab w:val="left" w:pos="720"/>
        </w:tabs>
        <w:contextualSpacing/>
        <w:jc w:val="both"/>
        <w:rPr>
          <w:rFonts w:eastAsia="SimSun"/>
          <w:bCs/>
          <w:sz w:val="22"/>
          <w:szCs w:val="22"/>
          <w:lang w:eastAsia="zh-CN"/>
        </w:rPr>
      </w:pPr>
    </w:p>
    <w:p w14:paraId="6A0745F1" w14:textId="77777777" w:rsidR="00C579AF" w:rsidRDefault="00C579AF" w:rsidP="00501CA6">
      <w:pPr>
        <w:tabs>
          <w:tab w:val="left" w:pos="720"/>
        </w:tabs>
        <w:contextualSpacing/>
        <w:jc w:val="both"/>
        <w:rPr>
          <w:rFonts w:eastAsia="SimSun"/>
          <w:bCs/>
          <w:sz w:val="22"/>
          <w:szCs w:val="22"/>
          <w:lang w:eastAsia="zh-CN"/>
        </w:rPr>
      </w:pPr>
    </w:p>
    <w:p w14:paraId="5DCD611B" w14:textId="77777777" w:rsidR="00C579AF" w:rsidRDefault="00C579AF" w:rsidP="00501CA6">
      <w:pPr>
        <w:tabs>
          <w:tab w:val="left" w:pos="720"/>
        </w:tabs>
        <w:contextualSpacing/>
        <w:jc w:val="both"/>
        <w:rPr>
          <w:rFonts w:eastAsia="SimSun"/>
          <w:bCs/>
          <w:sz w:val="22"/>
          <w:szCs w:val="22"/>
          <w:lang w:eastAsia="zh-CN"/>
        </w:rPr>
      </w:pPr>
    </w:p>
    <w:p w14:paraId="1872A87D" w14:textId="77777777" w:rsidR="00C579AF" w:rsidRDefault="00C579AF" w:rsidP="00501CA6">
      <w:pPr>
        <w:tabs>
          <w:tab w:val="left" w:pos="720"/>
        </w:tabs>
        <w:contextualSpacing/>
        <w:jc w:val="both"/>
        <w:rPr>
          <w:rFonts w:eastAsia="SimSun"/>
          <w:bCs/>
          <w:sz w:val="22"/>
          <w:szCs w:val="22"/>
          <w:lang w:eastAsia="zh-CN"/>
        </w:rPr>
      </w:pPr>
    </w:p>
    <w:p w14:paraId="507D0E51" w14:textId="77777777" w:rsidR="00C579AF" w:rsidRDefault="00C579AF" w:rsidP="00501CA6">
      <w:pPr>
        <w:tabs>
          <w:tab w:val="left" w:pos="720"/>
        </w:tabs>
        <w:contextualSpacing/>
        <w:jc w:val="both"/>
        <w:rPr>
          <w:rFonts w:eastAsia="SimSun"/>
          <w:bCs/>
          <w:sz w:val="22"/>
          <w:szCs w:val="22"/>
          <w:lang w:eastAsia="zh-CN"/>
        </w:rPr>
      </w:pPr>
    </w:p>
    <w:p w14:paraId="2122162A" w14:textId="77777777" w:rsidR="00C579AF" w:rsidRDefault="00C579AF" w:rsidP="00501CA6">
      <w:pPr>
        <w:tabs>
          <w:tab w:val="left" w:pos="720"/>
        </w:tabs>
        <w:contextualSpacing/>
        <w:jc w:val="both"/>
        <w:rPr>
          <w:rFonts w:eastAsia="SimSun"/>
          <w:bCs/>
          <w:sz w:val="22"/>
          <w:szCs w:val="22"/>
          <w:lang w:eastAsia="zh-CN"/>
        </w:rPr>
      </w:pPr>
    </w:p>
    <w:p w14:paraId="5C4B7861" w14:textId="77777777" w:rsidR="00C579AF" w:rsidRDefault="00C579AF" w:rsidP="00501CA6">
      <w:pPr>
        <w:tabs>
          <w:tab w:val="left" w:pos="720"/>
        </w:tabs>
        <w:contextualSpacing/>
        <w:jc w:val="both"/>
        <w:rPr>
          <w:rFonts w:eastAsia="SimSun"/>
          <w:bCs/>
          <w:sz w:val="22"/>
          <w:szCs w:val="22"/>
          <w:lang w:eastAsia="zh-CN"/>
        </w:rPr>
      </w:pPr>
    </w:p>
    <w:p w14:paraId="3DBBA6D9" w14:textId="77777777" w:rsidR="00C579AF" w:rsidRDefault="00C579AF" w:rsidP="00501CA6">
      <w:pPr>
        <w:tabs>
          <w:tab w:val="left" w:pos="720"/>
        </w:tabs>
        <w:contextualSpacing/>
        <w:jc w:val="both"/>
        <w:rPr>
          <w:rFonts w:eastAsia="SimSun"/>
          <w:bCs/>
          <w:sz w:val="22"/>
          <w:szCs w:val="22"/>
          <w:lang w:eastAsia="zh-CN"/>
        </w:rPr>
      </w:pPr>
    </w:p>
    <w:p w14:paraId="13538A55" w14:textId="77777777" w:rsidR="00C579AF" w:rsidRDefault="00C579AF" w:rsidP="00501CA6">
      <w:pPr>
        <w:tabs>
          <w:tab w:val="left" w:pos="720"/>
        </w:tabs>
        <w:contextualSpacing/>
        <w:jc w:val="both"/>
        <w:rPr>
          <w:rFonts w:eastAsia="SimSun"/>
          <w:bCs/>
          <w:sz w:val="22"/>
          <w:szCs w:val="22"/>
          <w:lang w:eastAsia="zh-CN"/>
        </w:rPr>
      </w:pPr>
    </w:p>
    <w:p w14:paraId="086ECA60" w14:textId="77777777" w:rsidR="00C579AF" w:rsidRDefault="00C579AF" w:rsidP="00501CA6">
      <w:pPr>
        <w:tabs>
          <w:tab w:val="left" w:pos="720"/>
        </w:tabs>
        <w:contextualSpacing/>
        <w:jc w:val="both"/>
        <w:rPr>
          <w:rFonts w:eastAsia="SimSun"/>
          <w:bCs/>
          <w:sz w:val="22"/>
          <w:szCs w:val="22"/>
          <w:lang w:eastAsia="zh-CN"/>
        </w:rPr>
      </w:pPr>
    </w:p>
    <w:p w14:paraId="1759FD22" w14:textId="77777777" w:rsidR="00C579AF" w:rsidRDefault="00C579AF" w:rsidP="00501CA6">
      <w:pPr>
        <w:tabs>
          <w:tab w:val="left" w:pos="720"/>
        </w:tabs>
        <w:contextualSpacing/>
        <w:jc w:val="both"/>
        <w:rPr>
          <w:rFonts w:eastAsia="SimSun"/>
          <w:bCs/>
          <w:sz w:val="22"/>
          <w:szCs w:val="22"/>
          <w:lang w:eastAsia="zh-CN"/>
        </w:rPr>
      </w:pPr>
    </w:p>
    <w:p w14:paraId="1C9AC1AC" w14:textId="77777777" w:rsidR="00C579AF" w:rsidRDefault="00C579AF" w:rsidP="00501CA6">
      <w:pPr>
        <w:tabs>
          <w:tab w:val="left" w:pos="720"/>
        </w:tabs>
        <w:contextualSpacing/>
        <w:jc w:val="both"/>
        <w:rPr>
          <w:rFonts w:eastAsia="SimSun"/>
          <w:bCs/>
          <w:sz w:val="22"/>
          <w:szCs w:val="22"/>
          <w:lang w:eastAsia="zh-CN"/>
        </w:rPr>
      </w:pPr>
    </w:p>
    <w:p w14:paraId="67A978CA" w14:textId="77777777" w:rsidR="00C579AF" w:rsidRDefault="00C579AF" w:rsidP="00501CA6">
      <w:pPr>
        <w:tabs>
          <w:tab w:val="left" w:pos="720"/>
        </w:tabs>
        <w:contextualSpacing/>
        <w:jc w:val="both"/>
        <w:rPr>
          <w:rFonts w:eastAsia="SimSun"/>
          <w:bCs/>
          <w:sz w:val="22"/>
          <w:szCs w:val="22"/>
          <w:lang w:eastAsia="zh-CN"/>
        </w:rPr>
      </w:pPr>
    </w:p>
    <w:p w14:paraId="6D6AB010" w14:textId="77777777" w:rsidR="00C579AF" w:rsidRDefault="00C579AF" w:rsidP="00501CA6">
      <w:pPr>
        <w:tabs>
          <w:tab w:val="left" w:pos="720"/>
        </w:tabs>
        <w:contextualSpacing/>
        <w:jc w:val="both"/>
        <w:rPr>
          <w:rFonts w:eastAsia="SimSun"/>
          <w:bCs/>
          <w:sz w:val="22"/>
          <w:szCs w:val="22"/>
          <w:lang w:eastAsia="zh-CN"/>
        </w:rPr>
      </w:pPr>
    </w:p>
    <w:p w14:paraId="31AC552C" w14:textId="77777777" w:rsidR="00C579AF" w:rsidRDefault="00C579AF" w:rsidP="00501CA6">
      <w:pPr>
        <w:tabs>
          <w:tab w:val="left" w:pos="720"/>
        </w:tabs>
        <w:contextualSpacing/>
        <w:jc w:val="both"/>
        <w:rPr>
          <w:rFonts w:eastAsia="SimSun"/>
          <w:bCs/>
          <w:sz w:val="22"/>
          <w:szCs w:val="22"/>
          <w:lang w:eastAsia="zh-CN"/>
        </w:rPr>
      </w:pPr>
    </w:p>
    <w:p w14:paraId="784EEEA0" w14:textId="77777777" w:rsidR="00C579AF" w:rsidRDefault="00C579AF" w:rsidP="00501CA6">
      <w:pPr>
        <w:tabs>
          <w:tab w:val="left" w:pos="720"/>
        </w:tabs>
        <w:contextualSpacing/>
        <w:jc w:val="both"/>
        <w:rPr>
          <w:rFonts w:eastAsia="SimSun"/>
          <w:bCs/>
          <w:sz w:val="22"/>
          <w:szCs w:val="22"/>
          <w:lang w:eastAsia="zh-CN"/>
        </w:rPr>
      </w:pPr>
    </w:p>
    <w:p w14:paraId="417B81E3" w14:textId="77777777" w:rsidR="00C579AF" w:rsidRDefault="00C579AF" w:rsidP="00501CA6">
      <w:pPr>
        <w:tabs>
          <w:tab w:val="left" w:pos="720"/>
        </w:tabs>
        <w:contextualSpacing/>
        <w:jc w:val="both"/>
        <w:rPr>
          <w:rFonts w:eastAsia="SimSun"/>
          <w:bCs/>
          <w:sz w:val="22"/>
          <w:szCs w:val="22"/>
          <w:lang w:eastAsia="zh-CN"/>
        </w:rPr>
      </w:pPr>
    </w:p>
    <w:p w14:paraId="478A8E08" w14:textId="77777777" w:rsidR="00C579AF" w:rsidRDefault="00C579AF" w:rsidP="00501CA6">
      <w:pPr>
        <w:tabs>
          <w:tab w:val="left" w:pos="720"/>
        </w:tabs>
        <w:contextualSpacing/>
        <w:jc w:val="both"/>
        <w:rPr>
          <w:rFonts w:eastAsia="SimSun"/>
          <w:bCs/>
          <w:sz w:val="22"/>
          <w:szCs w:val="22"/>
          <w:lang w:eastAsia="zh-CN"/>
        </w:rPr>
      </w:pPr>
    </w:p>
    <w:p w14:paraId="70A508C9" w14:textId="77777777" w:rsidR="00C579AF" w:rsidRDefault="00C579AF" w:rsidP="00501CA6">
      <w:pPr>
        <w:tabs>
          <w:tab w:val="left" w:pos="720"/>
        </w:tabs>
        <w:contextualSpacing/>
        <w:jc w:val="both"/>
        <w:rPr>
          <w:rFonts w:eastAsia="SimSun"/>
          <w:bCs/>
          <w:sz w:val="22"/>
          <w:szCs w:val="22"/>
          <w:lang w:eastAsia="zh-CN"/>
        </w:rPr>
      </w:pPr>
    </w:p>
    <w:p w14:paraId="1E14A737" w14:textId="77777777" w:rsidR="00C579AF" w:rsidRDefault="00C579AF" w:rsidP="00501CA6">
      <w:pPr>
        <w:tabs>
          <w:tab w:val="left" w:pos="720"/>
        </w:tabs>
        <w:contextualSpacing/>
        <w:jc w:val="both"/>
        <w:rPr>
          <w:rFonts w:eastAsia="SimSun"/>
          <w:bCs/>
          <w:sz w:val="22"/>
          <w:szCs w:val="22"/>
          <w:lang w:eastAsia="zh-CN"/>
        </w:rPr>
      </w:pPr>
    </w:p>
    <w:p w14:paraId="07DBF9D2" w14:textId="77777777" w:rsidR="00C579AF" w:rsidRDefault="00C579AF" w:rsidP="00501CA6">
      <w:pPr>
        <w:tabs>
          <w:tab w:val="left" w:pos="720"/>
        </w:tabs>
        <w:contextualSpacing/>
        <w:jc w:val="both"/>
        <w:rPr>
          <w:rFonts w:eastAsia="SimSun"/>
          <w:bCs/>
          <w:sz w:val="22"/>
          <w:szCs w:val="22"/>
          <w:lang w:eastAsia="zh-CN"/>
        </w:rPr>
      </w:pPr>
    </w:p>
    <w:p w14:paraId="62F5276F" w14:textId="77777777" w:rsidR="00C579AF" w:rsidRDefault="00C579AF" w:rsidP="00501CA6">
      <w:pPr>
        <w:tabs>
          <w:tab w:val="left" w:pos="720"/>
        </w:tabs>
        <w:contextualSpacing/>
        <w:jc w:val="both"/>
        <w:rPr>
          <w:rFonts w:eastAsia="SimSun"/>
          <w:bCs/>
          <w:sz w:val="22"/>
          <w:szCs w:val="22"/>
          <w:lang w:eastAsia="zh-CN"/>
        </w:rPr>
      </w:pPr>
    </w:p>
    <w:p w14:paraId="1F4F5E3C" w14:textId="77777777" w:rsidR="00C579AF" w:rsidRDefault="00C579AF" w:rsidP="00501CA6">
      <w:pPr>
        <w:tabs>
          <w:tab w:val="left" w:pos="720"/>
        </w:tabs>
        <w:contextualSpacing/>
        <w:jc w:val="both"/>
        <w:rPr>
          <w:rFonts w:eastAsia="SimSun"/>
          <w:bCs/>
          <w:sz w:val="22"/>
          <w:szCs w:val="22"/>
          <w:lang w:eastAsia="zh-CN"/>
        </w:rPr>
      </w:pPr>
    </w:p>
    <w:p w14:paraId="7993AE7F" w14:textId="77777777" w:rsidR="00C579AF" w:rsidRDefault="00C579AF" w:rsidP="00501CA6">
      <w:pPr>
        <w:tabs>
          <w:tab w:val="left" w:pos="720"/>
        </w:tabs>
        <w:contextualSpacing/>
        <w:jc w:val="both"/>
        <w:rPr>
          <w:rFonts w:eastAsia="SimSun"/>
          <w:bCs/>
          <w:sz w:val="22"/>
          <w:szCs w:val="22"/>
          <w:lang w:eastAsia="zh-CN"/>
        </w:rPr>
      </w:pPr>
    </w:p>
    <w:p w14:paraId="03457927" w14:textId="77777777" w:rsidR="00C579AF" w:rsidRDefault="00C579AF" w:rsidP="00501CA6">
      <w:pPr>
        <w:tabs>
          <w:tab w:val="left" w:pos="720"/>
        </w:tabs>
        <w:contextualSpacing/>
        <w:jc w:val="both"/>
        <w:rPr>
          <w:rFonts w:eastAsia="SimSun"/>
          <w:bCs/>
          <w:sz w:val="22"/>
          <w:szCs w:val="22"/>
          <w:lang w:eastAsia="zh-CN"/>
        </w:rPr>
      </w:pPr>
    </w:p>
    <w:p w14:paraId="54062FE2" w14:textId="77777777" w:rsidR="00C579AF" w:rsidRDefault="00C579AF" w:rsidP="00501CA6">
      <w:pPr>
        <w:tabs>
          <w:tab w:val="left" w:pos="720"/>
        </w:tabs>
        <w:contextualSpacing/>
        <w:jc w:val="both"/>
        <w:rPr>
          <w:rFonts w:eastAsia="SimSun"/>
          <w:bCs/>
          <w:sz w:val="22"/>
          <w:szCs w:val="22"/>
          <w:lang w:eastAsia="zh-CN"/>
        </w:rPr>
      </w:pPr>
    </w:p>
    <w:p w14:paraId="05A4C86F" w14:textId="77777777" w:rsidR="00C579AF" w:rsidRDefault="00C579AF" w:rsidP="00501CA6">
      <w:pPr>
        <w:tabs>
          <w:tab w:val="left" w:pos="720"/>
        </w:tabs>
        <w:contextualSpacing/>
        <w:jc w:val="both"/>
        <w:rPr>
          <w:rFonts w:eastAsia="SimSun"/>
          <w:bCs/>
          <w:sz w:val="22"/>
          <w:szCs w:val="22"/>
          <w:lang w:eastAsia="zh-CN"/>
        </w:rPr>
      </w:pPr>
    </w:p>
    <w:p w14:paraId="1BA8C819" w14:textId="77777777" w:rsidR="00C579AF" w:rsidRDefault="00C579AF" w:rsidP="00501CA6">
      <w:pPr>
        <w:tabs>
          <w:tab w:val="left" w:pos="720"/>
        </w:tabs>
        <w:contextualSpacing/>
        <w:jc w:val="both"/>
        <w:rPr>
          <w:rFonts w:eastAsia="SimSun"/>
          <w:bCs/>
          <w:sz w:val="22"/>
          <w:szCs w:val="22"/>
          <w:lang w:eastAsia="zh-CN"/>
        </w:rPr>
      </w:pPr>
    </w:p>
    <w:p w14:paraId="6E7397C1" w14:textId="77777777" w:rsidR="00C579AF" w:rsidRDefault="00C579AF" w:rsidP="00501CA6">
      <w:pPr>
        <w:tabs>
          <w:tab w:val="left" w:pos="720"/>
        </w:tabs>
        <w:contextualSpacing/>
        <w:jc w:val="both"/>
        <w:rPr>
          <w:rFonts w:eastAsia="SimSun"/>
          <w:bCs/>
          <w:sz w:val="22"/>
          <w:szCs w:val="22"/>
          <w:lang w:eastAsia="zh-CN"/>
        </w:rPr>
      </w:pPr>
    </w:p>
    <w:p w14:paraId="67BE2105" w14:textId="77777777" w:rsidR="00C579AF" w:rsidRDefault="00C579AF" w:rsidP="00501CA6">
      <w:pPr>
        <w:tabs>
          <w:tab w:val="left" w:pos="720"/>
        </w:tabs>
        <w:contextualSpacing/>
        <w:jc w:val="both"/>
        <w:rPr>
          <w:rFonts w:eastAsia="SimSun"/>
          <w:bCs/>
          <w:sz w:val="22"/>
          <w:szCs w:val="22"/>
          <w:lang w:eastAsia="zh-CN"/>
        </w:rPr>
      </w:pPr>
    </w:p>
    <w:p w14:paraId="364365BD" w14:textId="2BE03F4E" w:rsidR="00077364" w:rsidRPr="00C579AF" w:rsidRDefault="00501CA6" w:rsidP="00C579AF">
      <w:pPr>
        <w:tabs>
          <w:tab w:val="left" w:pos="720"/>
        </w:tabs>
        <w:contextualSpacing/>
        <w:jc w:val="both"/>
        <w:rPr>
          <w:rFonts w:eastAsia="SimSun"/>
          <w:b/>
          <w:sz w:val="22"/>
          <w:szCs w:val="22"/>
          <w:lang w:eastAsia="zh-CN"/>
        </w:rPr>
      </w:pPr>
      <w:r w:rsidRPr="00F61428">
        <w:rPr>
          <w:rFonts w:eastAsia="SimSun"/>
          <w:bCs/>
          <w:sz w:val="22"/>
          <w:szCs w:val="22"/>
          <w:lang w:eastAsia="zh-CN"/>
        </w:rPr>
        <w:t xml:space="preserve">“This meeting is governed by the Open Meetings Act.  Please address any questions or complaints arising under this meeting to the Office of Open Government at </w:t>
      </w:r>
      <w:hyperlink r:id="rId12" w:history="1">
        <w:r w:rsidRPr="00F61428">
          <w:rPr>
            <w:rStyle w:val="Hyperlink"/>
            <w:rFonts w:eastAsia="SimSun"/>
            <w:bCs/>
            <w:sz w:val="22"/>
            <w:szCs w:val="22"/>
            <w:lang w:eastAsia="zh-CN"/>
          </w:rPr>
          <w:t>opengovoffice@dc.gov</w:t>
        </w:r>
      </w:hyperlink>
      <w:r w:rsidRPr="00F61428">
        <w:rPr>
          <w:rFonts w:eastAsia="SimSun"/>
          <w:bCs/>
          <w:sz w:val="22"/>
          <w:szCs w:val="22"/>
          <w:lang w:eastAsia="zh-CN"/>
        </w:rPr>
        <w:t>.</w:t>
      </w:r>
    </w:p>
    <w:sectPr w:rsidR="00077364" w:rsidRPr="00C579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DE23" w14:textId="77777777" w:rsidR="00410032" w:rsidRDefault="00410032" w:rsidP="008D1283">
      <w:r>
        <w:separator/>
      </w:r>
    </w:p>
  </w:endnote>
  <w:endnote w:type="continuationSeparator" w:id="0">
    <w:p w14:paraId="26F17D86" w14:textId="77777777" w:rsidR="00410032" w:rsidRDefault="00410032" w:rsidP="008D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D5FEF" w14:textId="77777777" w:rsidR="00410032" w:rsidRDefault="00410032" w:rsidP="008D1283">
      <w:r>
        <w:separator/>
      </w:r>
    </w:p>
  </w:footnote>
  <w:footnote w:type="continuationSeparator" w:id="0">
    <w:p w14:paraId="675A852E" w14:textId="77777777" w:rsidR="00410032" w:rsidRDefault="00410032" w:rsidP="008D1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63F1C"/>
    <w:multiLevelType w:val="hybridMultilevel"/>
    <w:tmpl w:val="7DD86578"/>
    <w:lvl w:ilvl="0" w:tplc="600E7EF2">
      <w:start w:val="1"/>
      <w:numFmt w:val="upperRoman"/>
      <w:lvlText w:val="%1."/>
      <w:lvlJc w:val="left"/>
      <w:pPr>
        <w:tabs>
          <w:tab w:val="num" w:pos="1080"/>
        </w:tabs>
        <w:ind w:left="1080" w:hanging="720"/>
      </w:pPr>
      <w:rPr>
        <w:b/>
      </w:rPr>
    </w:lvl>
    <w:lvl w:ilvl="1" w:tplc="AE1E5B42">
      <w:start w:val="1"/>
      <w:numFmt w:val="upperLetter"/>
      <w:lvlText w:val="%2."/>
      <w:lvlJc w:val="left"/>
      <w:pPr>
        <w:tabs>
          <w:tab w:val="num" w:pos="1440"/>
        </w:tabs>
        <w:ind w:left="1440" w:hanging="360"/>
      </w:pPr>
      <w:rPr>
        <w:b/>
      </w:rPr>
    </w:lvl>
    <w:lvl w:ilvl="2" w:tplc="1496FC8C">
      <w:start w:val="1"/>
      <w:numFmt w:val="decimal"/>
      <w:lvlText w:val="%3."/>
      <w:lvlJc w:val="left"/>
      <w:pPr>
        <w:tabs>
          <w:tab w:val="num" w:pos="1620"/>
        </w:tabs>
        <w:ind w:left="1620" w:hanging="360"/>
      </w:pPr>
      <w:rPr>
        <w:b/>
        <w:bCs w:val="0"/>
        <w:color w:val="auto"/>
        <w:sz w:val="22"/>
        <w:szCs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499656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A6"/>
    <w:rsid w:val="00002E26"/>
    <w:rsid w:val="00003F8D"/>
    <w:rsid w:val="00077364"/>
    <w:rsid w:val="00090927"/>
    <w:rsid w:val="000D72D5"/>
    <w:rsid w:val="001231F7"/>
    <w:rsid w:val="00176979"/>
    <w:rsid w:val="00202ED0"/>
    <w:rsid w:val="003B2312"/>
    <w:rsid w:val="003F67AB"/>
    <w:rsid w:val="00410032"/>
    <w:rsid w:val="004302FE"/>
    <w:rsid w:val="00465B14"/>
    <w:rsid w:val="00501CA6"/>
    <w:rsid w:val="005C20D5"/>
    <w:rsid w:val="005C56FE"/>
    <w:rsid w:val="005C5BF5"/>
    <w:rsid w:val="005D25E7"/>
    <w:rsid w:val="00642A34"/>
    <w:rsid w:val="006B4E7B"/>
    <w:rsid w:val="006E7BBB"/>
    <w:rsid w:val="00746ED9"/>
    <w:rsid w:val="007704CD"/>
    <w:rsid w:val="007E1AD0"/>
    <w:rsid w:val="007F40BC"/>
    <w:rsid w:val="00811167"/>
    <w:rsid w:val="008557E1"/>
    <w:rsid w:val="00883151"/>
    <w:rsid w:val="00897A66"/>
    <w:rsid w:val="008D1283"/>
    <w:rsid w:val="00931DBD"/>
    <w:rsid w:val="00933970"/>
    <w:rsid w:val="009B5394"/>
    <w:rsid w:val="00A66704"/>
    <w:rsid w:val="00A8441A"/>
    <w:rsid w:val="00B72719"/>
    <w:rsid w:val="00B97AE4"/>
    <w:rsid w:val="00BD7208"/>
    <w:rsid w:val="00BF3247"/>
    <w:rsid w:val="00C34F2A"/>
    <w:rsid w:val="00C579AF"/>
    <w:rsid w:val="00C973FC"/>
    <w:rsid w:val="00D406CA"/>
    <w:rsid w:val="00E60A68"/>
    <w:rsid w:val="00E63375"/>
    <w:rsid w:val="00E865B2"/>
    <w:rsid w:val="00ED6E16"/>
    <w:rsid w:val="00F160FD"/>
    <w:rsid w:val="00FB0DB7"/>
    <w:rsid w:val="00FF1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72348"/>
  <w15:chartTrackingRefBased/>
  <w15:docId w15:val="{A84A7AE5-D986-4D9F-B998-22430BDC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CA6"/>
    <w:pPr>
      <w:widowControl w:val="0"/>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501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A6"/>
    <w:rPr>
      <w:rFonts w:eastAsiaTheme="majorEastAsia" w:cstheme="majorBidi"/>
      <w:color w:val="272727" w:themeColor="text1" w:themeTint="D8"/>
    </w:rPr>
  </w:style>
  <w:style w:type="paragraph" w:styleId="Title">
    <w:name w:val="Title"/>
    <w:basedOn w:val="Normal"/>
    <w:next w:val="Normal"/>
    <w:link w:val="TitleChar"/>
    <w:uiPriority w:val="10"/>
    <w:qFormat/>
    <w:rsid w:val="00501C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A6"/>
    <w:pPr>
      <w:spacing w:before="160"/>
      <w:jc w:val="center"/>
    </w:pPr>
    <w:rPr>
      <w:i/>
      <w:iCs/>
      <w:color w:val="404040" w:themeColor="text1" w:themeTint="BF"/>
    </w:rPr>
  </w:style>
  <w:style w:type="character" w:customStyle="1" w:styleId="QuoteChar">
    <w:name w:val="Quote Char"/>
    <w:basedOn w:val="DefaultParagraphFont"/>
    <w:link w:val="Quote"/>
    <w:uiPriority w:val="29"/>
    <w:rsid w:val="00501CA6"/>
    <w:rPr>
      <w:i/>
      <w:iCs/>
      <w:color w:val="404040" w:themeColor="text1" w:themeTint="BF"/>
    </w:rPr>
  </w:style>
  <w:style w:type="paragraph" w:styleId="ListParagraph">
    <w:name w:val="List Paragraph"/>
    <w:basedOn w:val="Normal"/>
    <w:uiPriority w:val="34"/>
    <w:qFormat/>
    <w:rsid w:val="00501CA6"/>
    <w:pPr>
      <w:ind w:left="720"/>
      <w:contextualSpacing/>
    </w:pPr>
  </w:style>
  <w:style w:type="character" w:styleId="IntenseEmphasis">
    <w:name w:val="Intense Emphasis"/>
    <w:basedOn w:val="DefaultParagraphFont"/>
    <w:uiPriority w:val="21"/>
    <w:qFormat/>
    <w:rsid w:val="00501CA6"/>
    <w:rPr>
      <w:i/>
      <w:iCs/>
      <w:color w:val="0F4761" w:themeColor="accent1" w:themeShade="BF"/>
    </w:rPr>
  </w:style>
  <w:style w:type="paragraph" w:styleId="IntenseQuote">
    <w:name w:val="Intense Quote"/>
    <w:basedOn w:val="Normal"/>
    <w:next w:val="Normal"/>
    <w:link w:val="IntenseQuoteChar"/>
    <w:uiPriority w:val="30"/>
    <w:qFormat/>
    <w:rsid w:val="00501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A6"/>
    <w:rPr>
      <w:i/>
      <w:iCs/>
      <w:color w:val="0F4761" w:themeColor="accent1" w:themeShade="BF"/>
    </w:rPr>
  </w:style>
  <w:style w:type="character" w:styleId="IntenseReference">
    <w:name w:val="Intense Reference"/>
    <w:basedOn w:val="DefaultParagraphFont"/>
    <w:uiPriority w:val="32"/>
    <w:qFormat/>
    <w:rsid w:val="00501CA6"/>
    <w:rPr>
      <w:b/>
      <w:bCs/>
      <w:smallCaps/>
      <w:color w:val="0F4761" w:themeColor="accent1" w:themeShade="BF"/>
      <w:spacing w:val="5"/>
    </w:rPr>
  </w:style>
  <w:style w:type="character" w:styleId="Hyperlink">
    <w:name w:val="Hyperlink"/>
    <w:basedOn w:val="DefaultParagraphFont"/>
    <w:uiPriority w:val="99"/>
    <w:unhideWhenUsed/>
    <w:rsid w:val="00501CA6"/>
    <w:rPr>
      <w:color w:val="467886" w:themeColor="hyperlink"/>
      <w:u w:val="single"/>
    </w:rPr>
  </w:style>
  <w:style w:type="character" w:styleId="UnresolvedMention">
    <w:name w:val="Unresolved Mention"/>
    <w:basedOn w:val="DefaultParagraphFont"/>
    <w:uiPriority w:val="99"/>
    <w:semiHidden/>
    <w:unhideWhenUsed/>
    <w:rsid w:val="00746ED9"/>
    <w:rPr>
      <w:color w:val="605E5C"/>
      <w:shd w:val="clear" w:color="auto" w:fill="E1DFDD"/>
    </w:rPr>
  </w:style>
  <w:style w:type="character" w:styleId="FootnoteReference">
    <w:name w:val="footnote reference"/>
    <w:basedOn w:val="DefaultParagraphFont"/>
    <w:uiPriority w:val="99"/>
    <w:unhideWhenUsed/>
    <w:rsid w:val="000D72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pengovoffice@d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ynter.clarke@dc.gov" TargetMode="External"/><Relationship Id="rId5" Type="http://schemas.openxmlformats.org/officeDocument/2006/relationships/styles" Target="styles.xml"/><Relationship Id="rId10" Type="http://schemas.openxmlformats.org/officeDocument/2006/relationships/hyperlink" Target="https://dcnet.webex.com/dcnet/j.php?MTID=mf78c1b3ce4697f37d57099b85a80703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D10197A075D84086A39586F1A93F35" ma:contentTypeVersion="9" ma:contentTypeDescription="Create a new document." ma:contentTypeScope="" ma:versionID="4ff854b0fbb76802813fab7176931d6e">
  <xsd:schema xmlns:xsd="http://www.w3.org/2001/XMLSchema" xmlns:xs="http://www.w3.org/2001/XMLSchema" xmlns:p="http://schemas.microsoft.com/office/2006/metadata/properties" xmlns:ns3="9e83932e-f425-45b0-b5c6-fe405ab3be6e" xmlns:ns4="1ada1fbf-a224-4adf-a9d1-61fa4e3be8ae" targetNamespace="http://schemas.microsoft.com/office/2006/metadata/properties" ma:root="true" ma:fieldsID="f4debf0ab6bfaa7dbd55a7f308a8eac4" ns3:_="" ns4:_="">
    <xsd:import namespace="9e83932e-f425-45b0-b5c6-fe405ab3be6e"/>
    <xsd:import namespace="1ada1fbf-a224-4adf-a9d1-61fa4e3be8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3932e-f425-45b0-b5c6-fe405ab3b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a1fbf-a224-4adf-a9d1-61fa4e3be8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e83932e-f425-45b0-b5c6-fe405ab3be6e" xsi:nil="true"/>
  </documentManagement>
</p:properties>
</file>

<file path=customXml/itemProps1.xml><?xml version="1.0" encoding="utf-8"?>
<ds:datastoreItem xmlns:ds="http://schemas.openxmlformats.org/officeDocument/2006/customXml" ds:itemID="{1A4D9895-B9E0-47D2-9482-4B72495F3C6E}">
  <ds:schemaRefs>
    <ds:schemaRef ds:uri="http://schemas.microsoft.com/sharepoint/v3/contenttype/forms"/>
  </ds:schemaRefs>
</ds:datastoreItem>
</file>

<file path=customXml/itemProps2.xml><?xml version="1.0" encoding="utf-8"?>
<ds:datastoreItem xmlns:ds="http://schemas.openxmlformats.org/officeDocument/2006/customXml" ds:itemID="{A3FD914F-4A1B-4624-AD97-4DD50C3E9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3932e-f425-45b0-b5c6-fe405ab3be6e"/>
    <ds:schemaRef ds:uri="1ada1fbf-a224-4adf-a9d1-61fa4e3be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DF8D2-9D85-4D95-B3BB-D97AC14FC9DE}">
  <ds:schemaRefs>
    <ds:schemaRef ds:uri="http://schemas.microsoft.com/office/2006/metadata/properties"/>
    <ds:schemaRef ds:uri="http://schemas.microsoft.com/office/infopath/2007/PartnerControls"/>
    <ds:schemaRef ds:uri="9e83932e-f425-45b0-b5c6-fe405ab3be6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3374</Words>
  <Characters>18815</Characters>
  <Application>Microsoft Office Word</Application>
  <DocSecurity>4</DocSecurity>
  <Lines>374</Lines>
  <Paragraphs>57</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Sommer J. (OEA)</dc:creator>
  <cp:keywords/>
  <dc:description/>
  <cp:lastModifiedBy>Clarke, Wynter (OEA)</cp:lastModifiedBy>
  <cp:revision>2</cp:revision>
  <cp:lastPrinted>2026-01-15T18:46:00Z</cp:lastPrinted>
  <dcterms:created xsi:type="dcterms:W3CDTF">2026-01-15T19:22:00Z</dcterms:created>
  <dcterms:modified xsi:type="dcterms:W3CDTF">2026-01-15T19:22:00Z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0x01010083D10197A075D84086A39586F1A93F35</vt:lpwstr>
  </property>
</Properties>
</file>