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FC737" w14:textId="77777777" w:rsidR="00F75CC9" w:rsidRDefault="00F75CC9" w:rsidP="00522F20">
      <w:pPr>
        <w:ind w:left="1440" w:firstLine="720"/>
        <w:jc w:val="both"/>
      </w:pPr>
      <w:bookmarkStart w:id="0" w:name="_GoBack"/>
      <w:bookmarkEnd w:id="0"/>
      <w:r>
        <w:rPr>
          <w:noProof/>
        </w:rPr>
        <w:drawing>
          <wp:anchor distT="114300" distB="114300" distL="114300" distR="114300" simplePos="0" relativeHeight="251659264" behindDoc="0" locked="0" layoutInCell="0" hidden="0" allowOverlap="1" wp14:anchorId="72CE26A5" wp14:editId="69AD8A3D">
            <wp:simplePos x="0" y="0"/>
            <wp:positionH relativeFrom="margin">
              <wp:posOffset>-190499</wp:posOffset>
            </wp:positionH>
            <wp:positionV relativeFrom="paragraph">
              <wp:posOffset>0</wp:posOffset>
            </wp:positionV>
            <wp:extent cx="1076826" cy="852488"/>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1076826" cy="852488"/>
                    </a:xfrm>
                    <a:prstGeom prst="rect">
                      <a:avLst/>
                    </a:prstGeom>
                    <a:ln/>
                  </pic:spPr>
                </pic:pic>
              </a:graphicData>
            </a:graphic>
          </wp:anchor>
        </w:drawing>
      </w:r>
      <w:r>
        <w:rPr>
          <w:sz w:val="36"/>
          <w:szCs w:val="36"/>
        </w:rPr>
        <w:t xml:space="preserve"> D.C. Criminal Code Reform Commission</w:t>
      </w:r>
    </w:p>
    <w:p w14:paraId="2CCA6C43" w14:textId="77777777" w:rsidR="00F75CC9" w:rsidRDefault="00F75CC9" w:rsidP="00522F20">
      <w:pPr>
        <w:ind w:left="1440" w:firstLine="720"/>
        <w:jc w:val="both"/>
      </w:pPr>
      <w:r>
        <w:t>441 Fourth Street, NW, Suite 1C001S, Washington, DC 20001</w:t>
      </w:r>
      <w:r>
        <w:tab/>
        <w:t xml:space="preserve"> </w:t>
      </w:r>
    </w:p>
    <w:p w14:paraId="6CA813AA" w14:textId="77777777" w:rsidR="00F75CC9" w:rsidRDefault="00F75CC9" w:rsidP="00522F20">
      <w:pPr>
        <w:ind w:left="2880" w:firstLine="720"/>
        <w:jc w:val="both"/>
      </w:pPr>
      <w:r>
        <w:t xml:space="preserve">(202) 442-8715     </w:t>
      </w:r>
      <w:hyperlink r:id="rId10">
        <w:r>
          <w:rPr>
            <w:color w:val="1155CC"/>
            <w:u w:val="single"/>
          </w:rPr>
          <w:t>www.ccrc.dc.gov</w:t>
        </w:r>
      </w:hyperlink>
    </w:p>
    <w:p w14:paraId="07074BFC" w14:textId="77777777" w:rsidR="00862B5A" w:rsidRDefault="00862B5A" w:rsidP="00522F20">
      <w:pPr>
        <w:jc w:val="both"/>
      </w:pPr>
    </w:p>
    <w:p w14:paraId="55BE5A82" w14:textId="77777777" w:rsidR="00F75CC9" w:rsidRDefault="00F75CC9" w:rsidP="0042614E"/>
    <w:p w14:paraId="02A30186" w14:textId="77777777" w:rsidR="00F75CC9" w:rsidRPr="00A0797E" w:rsidRDefault="00F75CC9" w:rsidP="00312C03">
      <w:pPr>
        <w:jc w:val="center"/>
        <w:rPr>
          <w:b/>
        </w:rPr>
      </w:pPr>
      <w:r w:rsidRPr="00A0797E">
        <w:rPr>
          <w:b/>
        </w:rPr>
        <w:t>MINUTES OF PUBLIC MEETING</w:t>
      </w:r>
    </w:p>
    <w:p w14:paraId="427E326B" w14:textId="77777777" w:rsidR="00F75CC9" w:rsidRPr="00A0797E" w:rsidRDefault="00F75CC9" w:rsidP="00312C03">
      <w:pPr>
        <w:jc w:val="center"/>
        <w:rPr>
          <w:b/>
        </w:rPr>
      </w:pPr>
    </w:p>
    <w:p w14:paraId="7E610A50" w14:textId="72BC5A40" w:rsidR="00F75CC9" w:rsidRPr="00A0797E" w:rsidRDefault="00ED5068" w:rsidP="00312C03">
      <w:pPr>
        <w:jc w:val="center"/>
        <w:rPr>
          <w:b/>
        </w:rPr>
      </w:pPr>
      <w:r>
        <w:rPr>
          <w:b/>
        </w:rPr>
        <w:t>WEDNESDAY, MAY 17</w:t>
      </w:r>
      <w:r w:rsidR="00F75CC9" w:rsidRPr="00A0797E">
        <w:rPr>
          <w:b/>
        </w:rPr>
        <w:t>, 2017 at 2:00PM</w:t>
      </w:r>
    </w:p>
    <w:p w14:paraId="6BD58EEE" w14:textId="14D53BA1" w:rsidR="00F75CC9" w:rsidRPr="00A0797E" w:rsidRDefault="00F75CC9" w:rsidP="00312C03">
      <w:pPr>
        <w:jc w:val="center"/>
        <w:rPr>
          <w:b/>
        </w:rPr>
      </w:pPr>
      <w:r w:rsidRPr="00A0797E">
        <w:rPr>
          <w:b/>
        </w:rPr>
        <w:t xml:space="preserve">CITYWIDE CONFERENCE CENTER, 11th </w:t>
      </w:r>
      <w:r w:rsidR="00FA59AB">
        <w:rPr>
          <w:b/>
        </w:rPr>
        <w:t>FLOOR OF</w:t>
      </w:r>
      <w:r w:rsidRPr="00A0797E">
        <w:rPr>
          <w:b/>
        </w:rPr>
        <w:t xml:space="preserve"> 441 4th STREET NW</w:t>
      </w:r>
    </w:p>
    <w:p w14:paraId="7AD921A4" w14:textId="77777777" w:rsidR="00F75CC9" w:rsidRPr="00A0797E" w:rsidRDefault="00F75CC9" w:rsidP="00312C03">
      <w:pPr>
        <w:jc w:val="center"/>
        <w:rPr>
          <w:b/>
        </w:rPr>
      </w:pPr>
      <w:r w:rsidRPr="00A0797E">
        <w:rPr>
          <w:b/>
        </w:rPr>
        <w:t>WASHINGTON, D.C. 20001</w:t>
      </w:r>
    </w:p>
    <w:p w14:paraId="76EC810B" w14:textId="77777777" w:rsidR="00F75CC9" w:rsidRDefault="00F75CC9" w:rsidP="00522F20">
      <w:pPr>
        <w:jc w:val="both"/>
      </w:pPr>
    </w:p>
    <w:p w14:paraId="6A1F758F" w14:textId="0338F874" w:rsidR="00F75CC9" w:rsidRDefault="00F75CC9" w:rsidP="00522F20">
      <w:pPr>
        <w:jc w:val="both"/>
      </w:pPr>
      <w:r>
        <w:t xml:space="preserve">On Wednesday, </w:t>
      </w:r>
      <w:r w:rsidR="00ED5068">
        <w:t>May 17</w:t>
      </w:r>
      <w:r>
        <w:t xml:space="preserve">, 2017 at 2:00pm, </w:t>
      </w:r>
      <w:r w:rsidRPr="00F75CC9">
        <w:t xml:space="preserve">the D.C. Criminal Code Reform Commission (CCRC) held a meeting of its Criminal Code </w:t>
      </w:r>
      <w:r w:rsidR="00513134">
        <w:t>Reform</w:t>
      </w:r>
      <w:r w:rsidRPr="00F75CC9">
        <w:t xml:space="preserve"> Advisory Group (Advisory Group).  The meeting was held in Room </w:t>
      </w:r>
      <w:r w:rsidR="00AB7148">
        <w:t>1107</w:t>
      </w:r>
      <w:r w:rsidRPr="00F75CC9">
        <w:t xml:space="preserve"> at 441 Fourth St., N.W., Washington, D.C.  The meeting minutes are below.  For further information, contact Richard Schmechel, Executive Director, at (202) 442-8715 or </w:t>
      </w:r>
      <w:hyperlink r:id="rId11" w:history="1">
        <w:r w:rsidRPr="003A28C7">
          <w:rPr>
            <w:rStyle w:val="Hyperlink"/>
          </w:rPr>
          <w:t>richard.schmechel@dc.gov</w:t>
        </w:r>
      </w:hyperlink>
      <w:r w:rsidRPr="00F75CC9">
        <w:t>.</w:t>
      </w:r>
    </w:p>
    <w:p w14:paraId="53EDE4CF" w14:textId="77777777" w:rsidR="00F75CC9" w:rsidRDefault="00F75CC9" w:rsidP="00522F20">
      <w:pPr>
        <w:jc w:val="both"/>
      </w:pPr>
    </w:p>
    <w:p w14:paraId="24590896" w14:textId="2678A15B" w:rsidR="00F75CC9" w:rsidRPr="0042614E" w:rsidRDefault="00F75CC9" w:rsidP="00522F20">
      <w:pPr>
        <w:jc w:val="both"/>
        <w:rPr>
          <w:b/>
        </w:rPr>
      </w:pPr>
      <w:r w:rsidRPr="00F75CC9">
        <w:rPr>
          <w:b/>
        </w:rPr>
        <w:t>Commission Staff in Attendance:</w:t>
      </w:r>
    </w:p>
    <w:p w14:paraId="06AB2362" w14:textId="690A95A4" w:rsidR="00F75CC9" w:rsidRDefault="004223C5" w:rsidP="004223C5">
      <w:pPr>
        <w:jc w:val="both"/>
      </w:pPr>
      <w:r>
        <w:t>Richard Schmechel (Executive Director)</w:t>
      </w:r>
      <w:r>
        <w:tab/>
      </w:r>
      <w:r>
        <w:tab/>
      </w:r>
    </w:p>
    <w:p w14:paraId="6E79259D" w14:textId="77777777" w:rsidR="00F75CC9" w:rsidRDefault="00F75CC9" w:rsidP="00522F20">
      <w:pPr>
        <w:jc w:val="both"/>
      </w:pPr>
    </w:p>
    <w:p w14:paraId="38A4EF06" w14:textId="77777777" w:rsidR="00187C17" w:rsidRDefault="00F75CC9" w:rsidP="00187C17">
      <w:pPr>
        <w:jc w:val="both"/>
      </w:pPr>
      <w:r>
        <w:t>Rachel Redfern (Chief Counsel for</w:t>
      </w:r>
      <w:r>
        <w:tab/>
      </w:r>
      <w:r>
        <w:tab/>
      </w:r>
      <w:r>
        <w:tab/>
      </w:r>
      <w:r w:rsidR="00187C17">
        <w:t>Michael Serota (Chief Counsel for Policy &amp;</w:t>
      </w:r>
    </w:p>
    <w:p w14:paraId="2A727DBE" w14:textId="77777777" w:rsidR="00F75CC9" w:rsidRDefault="00187C17" w:rsidP="00522F20">
      <w:pPr>
        <w:jc w:val="both"/>
      </w:pPr>
      <w:r>
        <w:t>Planning)</w:t>
      </w:r>
      <w:r>
        <w:tab/>
      </w:r>
      <w:r>
        <w:tab/>
      </w:r>
      <w:r>
        <w:tab/>
      </w:r>
      <w:r>
        <w:tab/>
      </w:r>
      <w:r>
        <w:tab/>
      </w:r>
      <w:r>
        <w:tab/>
      </w:r>
      <w:r w:rsidR="00F75CC9">
        <w:t>Management &amp; Legislation)</w:t>
      </w:r>
    </w:p>
    <w:p w14:paraId="054E9D38" w14:textId="77777777" w:rsidR="00F75CC9" w:rsidRDefault="00F75CC9" w:rsidP="00522F20">
      <w:pPr>
        <w:jc w:val="both"/>
      </w:pPr>
    </w:p>
    <w:p w14:paraId="33F233DA" w14:textId="00BE1516" w:rsidR="00F75CC9" w:rsidRDefault="00187C17" w:rsidP="00522F20">
      <w:pPr>
        <w:jc w:val="both"/>
      </w:pPr>
      <w:r>
        <w:t>Jinwoo Park (Attorney Advisor)</w:t>
      </w:r>
      <w:r w:rsidR="001342CC">
        <w:tab/>
      </w:r>
      <w:r w:rsidR="001342CC">
        <w:tab/>
      </w:r>
      <w:r w:rsidR="001342CC">
        <w:tab/>
        <w:t>Bryson Nitta (Attorney Advisor)</w:t>
      </w:r>
    </w:p>
    <w:p w14:paraId="6DBC091C" w14:textId="77777777" w:rsidR="00F75CC9" w:rsidRDefault="00F75CC9" w:rsidP="00522F20">
      <w:pPr>
        <w:jc w:val="both"/>
      </w:pPr>
    </w:p>
    <w:p w14:paraId="2E598348" w14:textId="7CD2E297" w:rsidR="00F75CC9" w:rsidRPr="0042614E" w:rsidRDefault="00F75CC9" w:rsidP="00522F20">
      <w:pPr>
        <w:jc w:val="both"/>
        <w:rPr>
          <w:b/>
        </w:rPr>
      </w:pPr>
      <w:r w:rsidRPr="00F75CC9">
        <w:rPr>
          <w:b/>
        </w:rPr>
        <w:t xml:space="preserve">Advisory Group Members </w:t>
      </w:r>
      <w:r w:rsidR="00497D74">
        <w:rPr>
          <w:b/>
        </w:rPr>
        <w:t xml:space="preserve">and Guests </w:t>
      </w:r>
      <w:r w:rsidRPr="00F75CC9">
        <w:rPr>
          <w:b/>
        </w:rPr>
        <w:t>in Attendance:</w:t>
      </w:r>
    </w:p>
    <w:p w14:paraId="31391E30" w14:textId="138520B2" w:rsidR="00BF3DD1" w:rsidRDefault="00F75CC9" w:rsidP="00BF3DD1">
      <w:pPr>
        <w:ind w:left="5040" w:hanging="5040"/>
        <w:jc w:val="both"/>
      </w:pPr>
      <w:r>
        <w:t>Paul Butler (Council Appointee)</w:t>
      </w:r>
      <w:r w:rsidR="00ED5068">
        <w:t>, via phone</w:t>
      </w:r>
      <w:r w:rsidR="00BF3DD1">
        <w:t>,</w:t>
      </w:r>
      <w:r w:rsidR="00BF3DD1">
        <w:tab/>
        <w:t xml:space="preserve">Donald Braman (Council Appointee) </w:t>
      </w:r>
    </w:p>
    <w:p w14:paraId="3B0E27BD" w14:textId="6BCABCF4" w:rsidR="00F75CC9" w:rsidRDefault="00BF3DD1" w:rsidP="00BF3DD1">
      <w:pPr>
        <w:ind w:left="5040" w:hanging="5040"/>
        <w:jc w:val="both"/>
      </w:pPr>
      <w:proofErr w:type="gramStart"/>
      <w:r>
        <w:t>until</w:t>
      </w:r>
      <w:proofErr w:type="gramEnd"/>
      <w:r>
        <w:t xml:space="preserve"> 3:30 PM</w:t>
      </w:r>
      <w:r>
        <w:tab/>
      </w:r>
    </w:p>
    <w:p w14:paraId="29175B8C" w14:textId="77777777" w:rsidR="00F75CC9" w:rsidRDefault="00F75CC9" w:rsidP="00522F20">
      <w:pPr>
        <w:jc w:val="both"/>
      </w:pPr>
    </w:p>
    <w:p w14:paraId="001FD431" w14:textId="77777777" w:rsidR="00F75CC9" w:rsidRDefault="00F75CC9" w:rsidP="00522F20">
      <w:pPr>
        <w:jc w:val="both"/>
      </w:pPr>
      <w:r>
        <w:t xml:space="preserve">Laura Hankins (Designee of the Director of </w:t>
      </w:r>
      <w:r>
        <w:tab/>
      </w:r>
      <w:r>
        <w:tab/>
        <w:t xml:space="preserve">Renata Kendrick Cooper (Designee of the </w:t>
      </w:r>
    </w:p>
    <w:p w14:paraId="601C1678" w14:textId="77777777" w:rsidR="00F75CC9" w:rsidRDefault="00F75CC9" w:rsidP="00522F20">
      <w:pPr>
        <w:jc w:val="both"/>
      </w:pPr>
      <w:r>
        <w:t xml:space="preserve">The Public Defender Service for the District </w:t>
      </w:r>
      <w:r>
        <w:tab/>
      </w:r>
      <w:r>
        <w:tab/>
        <w:t>United States Attorney)</w:t>
      </w:r>
    </w:p>
    <w:p w14:paraId="3096DC0D" w14:textId="321CCA56" w:rsidR="009B259B" w:rsidRDefault="00DF05D7" w:rsidP="00DF05D7">
      <w:r>
        <w:t>O</w:t>
      </w:r>
      <w:r w:rsidR="00F75CC9">
        <w:t xml:space="preserve">f </w:t>
      </w:r>
      <w:r w:rsidRPr="00DF05D7">
        <w:t>Columbia)</w:t>
      </w:r>
      <w:r w:rsidR="009B259B" w:rsidRPr="009B259B">
        <w:t xml:space="preserve"> </w:t>
      </w:r>
      <w:r w:rsidR="00ED5068">
        <w:tab/>
      </w:r>
    </w:p>
    <w:p w14:paraId="2684BA83" w14:textId="77777777" w:rsidR="008E5249" w:rsidRDefault="008E5249" w:rsidP="00DF05D7"/>
    <w:p w14:paraId="4CF3FA9F" w14:textId="77777777" w:rsidR="008E5249" w:rsidRDefault="009B259B" w:rsidP="009B259B">
      <w:pPr>
        <w:jc w:val="both"/>
      </w:pPr>
      <w:r w:rsidRPr="009B259B">
        <w:t xml:space="preserve">Katerina </w:t>
      </w:r>
      <w:proofErr w:type="spellStart"/>
      <w:r w:rsidRPr="009B259B">
        <w:t>Semyonova</w:t>
      </w:r>
      <w:proofErr w:type="spellEnd"/>
      <w:r w:rsidRPr="009B259B">
        <w:t xml:space="preserve"> (Visiting Attendee of </w:t>
      </w:r>
      <w:r w:rsidR="008E5249">
        <w:tab/>
      </w:r>
      <w:r w:rsidR="008E5249">
        <w:tab/>
        <w:t xml:space="preserve">David Rosenthal (Designee of the Office of </w:t>
      </w:r>
    </w:p>
    <w:p w14:paraId="46E28718" w14:textId="77777777" w:rsidR="008E5249" w:rsidRDefault="008E5249" w:rsidP="008E5249">
      <w:pPr>
        <w:jc w:val="both"/>
      </w:pPr>
      <w:proofErr w:type="gramStart"/>
      <w:r>
        <w:t>the</w:t>
      </w:r>
      <w:proofErr w:type="gramEnd"/>
      <w:r>
        <w:t xml:space="preserve"> Public Defender Service for the </w:t>
      </w:r>
      <w:r>
        <w:tab/>
      </w:r>
      <w:r>
        <w:tab/>
      </w:r>
      <w:r>
        <w:tab/>
      </w:r>
      <w:r w:rsidRPr="008E5249">
        <w:t>the Attorney General)</w:t>
      </w:r>
    </w:p>
    <w:p w14:paraId="7B657BAE" w14:textId="77777777" w:rsidR="009B259B" w:rsidRDefault="008E5249" w:rsidP="008E5249">
      <w:pPr>
        <w:jc w:val="both"/>
      </w:pPr>
      <w:r>
        <w:t>District of Columbia)</w:t>
      </w:r>
    </w:p>
    <w:p w14:paraId="2C24177F" w14:textId="77777777" w:rsidR="004223C5" w:rsidRDefault="004223C5" w:rsidP="008E5249">
      <w:pPr>
        <w:jc w:val="both"/>
      </w:pPr>
    </w:p>
    <w:p w14:paraId="7FA62C57" w14:textId="57F15AA0" w:rsidR="004223C5" w:rsidRDefault="004223C5" w:rsidP="008E5249">
      <w:pPr>
        <w:jc w:val="both"/>
      </w:pPr>
      <w:proofErr w:type="spellStart"/>
      <w:r>
        <w:t>Chanell</w:t>
      </w:r>
      <w:proofErr w:type="spellEnd"/>
      <w:r>
        <w:t xml:space="preserve"> </w:t>
      </w:r>
      <w:proofErr w:type="spellStart"/>
      <w:r>
        <w:t>Autrey</w:t>
      </w:r>
      <w:proofErr w:type="spellEnd"/>
      <w:r>
        <w:t xml:space="preserve"> (Representative of the D.C. </w:t>
      </w:r>
    </w:p>
    <w:p w14:paraId="16550D71" w14:textId="1509407D" w:rsidR="004223C5" w:rsidRDefault="004223C5" w:rsidP="008E5249">
      <w:pPr>
        <w:jc w:val="both"/>
      </w:pPr>
      <w:r>
        <w:t>Council Judiciary Committee), via phone</w:t>
      </w:r>
    </w:p>
    <w:p w14:paraId="5A075DF5" w14:textId="77777777" w:rsidR="00187C17" w:rsidRDefault="00187C17" w:rsidP="00522F20">
      <w:pPr>
        <w:jc w:val="both"/>
      </w:pPr>
    </w:p>
    <w:p w14:paraId="67AC7244" w14:textId="77777777" w:rsidR="00EF0AD6" w:rsidRDefault="00EF0AD6" w:rsidP="00977507">
      <w:pPr>
        <w:pStyle w:val="ListParagraph"/>
        <w:numPr>
          <w:ilvl w:val="0"/>
          <w:numId w:val="5"/>
        </w:numPr>
        <w:jc w:val="both"/>
        <w:rPr>
          <w:b/>
        </w:rPr>
      </w:pPr>
      <w:r w:rsidRPr="00977507">
        <w:rPr>
          <w:b/>
        </w:rPr>
        <w:lastRenderedPageBreak/>
        <w:t xml:space="preserve">Welcome </w:t>
      </w:r>
    </w:p>
    <w:p w14:paraId="09D52B70" w14:textId="561B95AF" w:rsidR="004223C5" w:rsidRPr="004223C5" w:rsidRDefault="004223C5" w:rsidP="004223C5">
      <w:pPr>
        <w:pStyle w:val="ListParagraph"/>
        <w:numPr>
          <w:ilvl w:val="1"/>
          <w:numId w:val="10"/>
        </w:numPr>
        <w:jc w:val="both"/>
      </w:pPr>
      <w:r w:rsidRPr="004223C5">
        <w:t xml:space="preserve">The Executive Director noted that the agency’s home page has been re-designed.  </w:t>
      </w:r>
    </w:p>
    <w:p w14:paraId="4D143710" w14:textId="2BFB6663" w:rsidR="004223C5" w:rsidRDefault="004223C5" w:rsidP="004223C5">
      <w:pPr>
        <w:pStyle w:val="ListParagraph"/>
        <w:numPr>
          <w:ilvl w:val="1"/>
          <w:numId w:val="10"/>
        </w:numPr>
        <w:jc w:val="both"/>
      </w:pPr>
      <w:r w:rsidRPr="004223C5">
        <w:t>The Executive Director noted the dates of the next scheduled meetings to confirm Commission member availability.  Some members noted they may be unav</w:t>
      </w:r>
      <w:r w:rsidR="001342CC">
        <w:t xml:space="preserve">ailable for the August meeting. </w:t>
      </w:r>
      <w:r w:rsidR="006F6FA9">
        <w:t xml:space="preserve">One member noted he may be unavailable for the July meeting. </w:t>
      </w:r>
      <w:r w:rsidR="001342CC">
        <w:t>T</w:t>
      </w:r>
      <w:r w:rsidRPr="004223C5">
        <w:t xml:space="preserve">he Executive Director will email members </w:t>
      </w:r>
      <w:r w:rsidR="006F6FA9">
        <w:t>possible dates for rescheduling</w:t>
      </w:r>
      <w:r w:rsidRPr="004223C5">
        <w:t xml:space="preserve">.  </w:t>
      </w:r>
    </w:p>
    <w:p w14:paraId="62AE4950" w14:textId="6A1055DE" w:rsidR="00306105" w:rsidRPr="004223C5" w:rsidRDefault="00306105" w:rsidP="004223C5">
      <w:pPr>
        <w:pStyle w:val="ListParagraph"/>
        <w:numPr>
          <w:ilvl w:val="1"/>
          <w:numId w:val="10"/>
        </w:numPr>
        <w:jc w:val="both"/>
      </w:pPr>
      <w:r>
        <w:t>The Executive Director noted that staff a</w:t>
      </w:r>
      <w:r w:rsidR="006F6FA9">
        <w:t>nticipates that the next three r</w:t>
      </w:r>
      <w:r>
        <w:t>eports</w:t>
      </w:r>
      <w:r w:rsidR="006F6FA9">
        <w:t xml:space="preserve"> </w:t>
      </w:r>
      <w:r>
        <w:t xml:space="preserve">will </w:t>
      </w:r>
      <w:r w:rsidR="006F6FA9">
        <w:t>present recommendations</w:t>
      </w:r>
      <w:r>
        <w:t xml:space="preserve"> on attempt liability, penalty enhancements, and property offenses.  </w:t>
      </w:r>
    </w:p>
    <w:p w14:paraId="22213935" w14:textId="7B4A4F76" w:rsidR="004223C5" w:rsidRDefault="001342CC" w:rsidP="001342CC">
      <w:pPr>
        <w:pStyle w:val="BodyText"/>
        <w:tabs>
          <w:tab w:val="left" w:pos="7567"/>
        </w:tabs>
        <w:spacing w:line="240" w:lineRule="auto"/>
        <w:rPr>
          <w:rFonts w:ascii="Times New Roman" w:hAnsi="Times New Roman"/>
          <w:b/>
          <w:color w:val="212121"/>
          <w:spacing w:val="0"/>
          <w:sz w:val="24"/>
          <w:szCs w:val="24"/>
          <w:lang w:val="en-US" w:eastAsia="en-US"/>
        </w:rPr>
      </w:pPr>
      <w:r>
        <w:rPr>
          <w:rFonts w:ascii="Times New Roman" w:hAnsi="Times New Roman"/>
          <w:b/>
          <w:color w:val="212121"/>
          <w:spacing w:val="0"/>
          <w:sz w:val="24"/>
          <w:szCs w:val="24"/>
          <w:lang w:val="en-US" w:eastAsia="en-US"/>
        </w:rPr>
        <w:tab/>
      </w:r>
    </w:p>
    <w:p w14:paraId="22AE906D" w14:textId="6814DA38" w:rsidR="004223C5" w:rsidRDefault="004223C5" w:rsidP="004223C5">
      <w:pPr>
        <w:pStyle w:val="ListParagraph"/>
        <w:numPr>
          <w:ilvl w:val="0"/>
          <w:numId w:val="5"/>
        </w:numPr>
        <w:jc w:val="both"/>
        <w:rPr>
          <w:b/>
          <w:color w:val="auto"/>
          <w:spacing w:val="-5"/>
          <w:lang w:eastAsia="x-none"/>
        </w:rPr>
      </w:pPr>
      <w:r w:rsidRPr="004223C5">
        <w:rPr>
          <w:b/>
        </w:rPr>
        <w:t xml:space="preserve">Discussion of Commission Comments on </w:t>
      </w:r>
      <w:r w:rsidRPr="004223C5">
        <w:rPr>
          <w:b/>
          <w:color w:val="auto"/>
          <w:spacing w:val="-5"/>
          <w:lang w:eastAsia="x-none"/>
        </w:rPr>
        <w:t xml:space="preserve">First Draft of Report No. 3, </w:t>
      </w:r>
      <w:r>
        <w:rPr>
          <w:b/>
          <w:color w:val="auto"/>
          <w:spacing w:val="-5"/>
          <w:lang w:eastAsia="x-none"/>
        </w:rPr>
        <w:t>R</w:t>
      </w:r>
      <w:r w:rsidRPr="004223C5">
        <w:rPr>
          <w:b/>
          <w:color w:val="auto"/>
          <w:spacing w:val="-5"/>
          <w:lang w:eastAsia="x-none"/>
        </w:rPr>
        <w:t>ecommendations for Chapter 2 of the Revised Criminal Code—Mistake, Deliberate Ignorance, and Intoxication</w:t>
      </w:r>
    </w:p>
    <w:p w14:paraId="52F8847F" w14:textId="15449413" w:rsidR="004223C5" w:rsidRPr="00306105" w:rsidRDefault="00C84731" w:rsidP="004223C5">
      <w:pPr>
        <w:pStyle w:val="ListParagraph"/>
        <w:numPr>
          <w:ilvl w:val="1"/>
          <w:numId w:val="5"/>
        </w:numPr>
        <w:jc w:val="both"/>
        <w:rPr>
          <w:b/>
          <w:color w:val="auto"/>
          <w:spacing w:val="-5"/>
          <w:lang w:eastAsia="x-none"/>
        </w:rPr>
      </w:pPr>
      <w:r>
        <w:rPr>
          <w:b/>
          <w:color w:val="auto"/>
          <w:spacing w:val="-5"/>
          <w:lang w:eastAsia="x-none"/>
        </w:rPr>
        <w:t>Deliberate I</w:t>
      </w:r>
      <w:r w:rsidR="00306105" w:rsidRPr="001954FE">
        <w:rPr>
          <w:b/>
          <w:color w:val="auto"/>
          <w:spacing w:val="-5"/>
          <w:lang w:eastAsia="x-none"/>
        </w:rPr>
        <w:t>gnorance.</w:t>
      </w:r>
      <w:r>
        <w:rPr>
          <w:color w:val="auto"/>
          <w:spacing w:val="-5"/>
          <w:lang w:eastAsia="x-none"/>
        </w:rPr>
        <w:t xml:space="preserve">  The group discussed alternate proposals for language on deliberate ignorance submitted by the </w:t>
      </w:r>
      <w:r w:rsidR="001342CC">
        <w:rPr>
          <w:color w:val="auto"/>
          <w:spacing w:val="-5"/>
          <w:lang w:eastAsia="x-none"/>
        </w:rPr>
        <w:t>Public Defender Service (PDS)</w:t>
      </w:r>
      <w:r w:rsidR="00306105">
        <w:rPr>
          <w:color w:val="auto"/>
          <w:spacing w:val="-5"/>
          <w:lang w:eastAsia="x-none"/>
        </w:rPr>
        <w:t xml:space="preserve"> and</w:t>
      </w:r>
      <w:r w:rsidR="001342CC">
        <w:rPr>
          <w:color w:val="auto"/>
          <w:spacing w:val="-5"/>
          <w:lang w:eastAsia="x-none"/>
        </w:rPr>
        <w:t xml:space="preserve"> U.S. Attorney’s Office</w:t>
      </w:r>
      <w:r w:rsidR="00306105">
        <w:rPr>
          <w:color w:val="auto"/>
          <w:spacing w:val="-5"/>
          <w:lang w:eastAsia="x-none"/>
        </w:rPr>
        <w:t xml:space="preserve"> </w:t>
      </w:r>
      <w:r w:rsidR="001342CC">
        <w:rPr>
          <w:color w:val="auto"/>
          <w:spacing w:val="-5"/>
          <w:lang w:eastAsia="x-none"/>
        </w:rPr>
        <w:t>(USAO)</w:t>
      </w:r>
      <w:r>
        <w:rPr>
          <w:color w:val="auto"/>
          <w:spacing w:val="-5"/>
          <w:lang w:eastAsia="x-none"/>
        </w:rPr>
        <w:t>.</w:t>
      </w:r>
    </w:p>
    <w:p w14:paraId="3174A1FD" w14:textId="79336136" w:rsidR="006F54B1" w:rsidRPr="006F54B1" w:rsidRDefault="0007449E" w:rsidP="00306105">
      <w:pPr>
        <w:pStyle w:val="ListParagraph"/>
        <w:numPr>
          <w:ilvl w:val="2"/>
          <w:numId w:val="5"/>
        </w:numPr>
        <w:jc w:val="both"/>
        <w:rPr>
          <w:b/>
          <w:color w:val="auto"/>
          <w:spacing w:val="-5"/>
          <w:lang w:eastAsia="x-none"/>
        </w:rPr>
      </w:pPr>
      <w:r>
        <w:rPr>
          <w:color w:val="auto"/>
          <w:spacing w:val="-5"/>
          <w:lang w:eastAsia="x-none"/>
        </w:rPr>
        <w:t xml:space="preserve">Staff explained at the outset that the primary goal of </w:t>
      </w:r>
      <w:r w:rsidR="006F54B1">
        <w:rPr>
          <w:color w:val="auto"/>
          <w:spacing w:val="-5"/>
          <w:lang w:eastAsia="x-none"/>
        </w:rPr>
        <w:t xml:space="preserve">the deliberate ignorance provision is to </w:t>
      </w:r>
      <w:r>
        <w:rPr>
          <w:color w:val="auto"/>
          <w:spacing w:val="-5"/>
          <w:lang w:eastAsia="x-none"/>
        </w:rPr>
        <w:t xml:space="preserve">identify those situations where reckless conduct </w:t>
      </w:r>
      <w:r w:rsidR="006F54B1">
        <w:rPr>
          <w:color w:val="auto"/>
          <w:spacing w:val="-5"/>
          <w:lang w:eastAsia="x-none"/>
        </w:rPr>
        <w:t xml:space="preserve">can be deemed equally culpable as </w:t>
      </w:r>
      <w:r>
        <w:rPr>
          <w:color w:val="auto"/>
          <w:spacing w:val="-5"/>
          <w:lang w:eastAsia="x-none"/>
        </w:rPr>
        <w:t xml:space="preserve">knowing conduct.  Staff also noted that the legislature may always opt to apply the culpable mental state of recklessness instead of knowledge to a circumstance. </w:t>
      </w:r>
    </w:p>
    <w:p w14:paraId="5B4DD54E" w14:textId="148CC600" w:rsidR="006F54B1" w:rsidRPr="006F54B1" w:rsidRDefault="005407AD" w:rsidP="00306105">
      <w:pPr>
        <w:pStyle w:val="ListParagraph"/>
        <w:numPr>
          <w:ilvl w:val="2"/>
          <w:numId w:val="5"/>
        </w:numPr>
        <w:jc w:val="both"/>
        <w:rPr>
          <w:b/>
          <w:color w:val="auto"/>
          <w:spacing w:val="-5"/>
          <w:lang w:eastAsia="x-none"/>
        </w:rPr>
      </w:pPr>
      <w:r>
        <w:rPr>
          <w:color w:val="auto"/>
          <w:spacing w:val="-5"/>
          <w:lang w:eastAsia="x-none"/>
        </w:rPr>
        <w:t>The group discussed t</w:t>
      </w:r>
      <w:r w:rsidR="00306105">
        <w:rPr>
          <w:color w:val="auto"/>
          <w:spacing w:val="-5"/>
          <w:lang w:eastAsia="x-none"/>
        </w:rPr>
        <w:t xml:space="preserve">he </w:t>
      </w:r>
      <w:r w:rsidR="00306105" w:rsidRPr="006F54B1">
        <w:rPr>
          <w:color w:val="auto"/>
          <w:spacing w:val="-5"/>
          <w:lang w:eastAsia="x-none"/>
        </w:rPr>
        <w:t>USAO proposal</w:t>
      </w:r>
      <w:r>
        <w:rPr>
          <w:color w:val="auto"/>
          <w:spacing w:val="-5"/>
          <w:lang w:eastAsia="x-none"/>
        </w:rPr>
        <w:t>, which</w:t>
      </w:r>
      <w:r w:rsidR="006F54B1">
        <w:rPr>
          <w:color w:val="auto"/>
          <w:spacing w:val="-5"/>
          <w:lang w:eastAsia="x-none"/>
        </w:rPr>
        <w:t xml:space="preserve"> suggests</w:t>
      </w:r>
      <w:r w:rsidR="00C84731" w:rsidRPr="006F54B1">
        <w:rPr>
          <w:color w:val="auto"/>
          <w:spacing w:val="-5"/>
          <w:lang w:eastAsia="x-none"/>
        </w:rPr>
        <w:t xml:space="preserve"> replacing the phrase “</w:t>
      </w:r>
      <w:r w:rsidR="006F54B1">
        <w:t xml:space="preserve">with the </w:t>
      </w:r>
      <w:r w:rsidR="006F54B1" w:rsidRPr="00244875">
        <w:t>purpose</w:t>
      </w:r>
      <w:r w:rsidR="006F54B1">
        <w:t xml:space="preserve"> of avoiding criminal liability” with the phrase</w:t>
      </w:r>
      <w:r w:rsidR="006F54B1" w:rsidRPr="006F54B1">
        <w:rPr>
          <w:color w:val="auto"/>
          <w:spacing w:val="-5"/>
          <w:lang w:eastAsia="x-none"/>
        </w:rPr>
        <w:t xml:space="preserve"> </w:t>
      </w:r>
      <w:r w:rsidR="00306105" w:rsidRPr="006F54B1">
        <w:rPr>
          <w:color w:val="auto"/>
          <w:spacing w:val="-5"/>
          <w:lang w:eastAsia="x-none"/>
        </w:rPr>
        <w:t>“the purpose of avoiding knowledge of whether the circumstance existed.”</w:t>
      </w:r>
      <w:r w:rsidR="006F54B1">
        <w:rPr>
          <w:color w:val="auto"/>
          <w:spacing w:val="-5"/>
          <w:lang w:eastAsia="x-none"/>
        </w:rPr>
        <w:t xml:space="preserve">  </w:t>
      </w:r>
      <w:r w:rsidR="006F54B1">
        <w:t xml:space="preserve">USAO explained that the current phrase could </w:t>
      </w:r>
      <w:r w:rsidR="006F54B1" w:rsidRPr="00244875">
        <w:t>be misinterpreted as to require proof that a defendant knew that his/her a</w:t>
      </w:r>
      <w:r w:rsidR="006F54B1">
        <w:t xml:space="preserve">ctions would be against the law, which conflicts with the general rule that ignorance of the law is not a defense. </w:t>
      </w:r>
    </w:p>
    <w:p w14:paraId="5EFDA5CF" w14:textId="7A543362" w:rsidR="006F54B1" w:rsidRPr="006F54B1" w:rsidRDefault="00306105" w:rsidP="006F54B1">
      <w:pPr>
        <w:pStyle w:val="ListParagraph"/>
        <w:numPr>
          <w:ilvl w:val="2"/>
          <w:numId w:val="5"/>
        </w:numPr>
        <w:jc w:val="both"/>
        <w:rPr>
          <w:color w:val="auto"/>
          <w:spacing w:val="-5"/>
          <w:lang w:eastAsia="x-none"/>
        </w:rPr>
      </w:pPr>
      <w:r w:rsidRPr="006F54B1">
        <w:rPr>
          <w:color w:val="auto"/>
          <w:spacing w:val="-5"/>
          <w:lang w:eastAsia="x-none"/>
        </w:rPr>
        <w:t xml:space="preserve">Staff </w:t>
      </w:r>
      <w:r w:rsidR="006F54B1">
        <w:rPr>
          <w:color w:val="auto"/>
          <w:spacing w:val="-5"/>
          <w:lang w:eastAsia="x-none"/>
        </w:rPr>
        <w:t xml:space="preserve">explained that the current language was affirmatively </w:t>
      </w:r>
      <w:r w:rsidR="006F54B1" w:rsidRPr="006F54B1">
        <w:rPr>
          <w:color w:val="auto"/>
          <w:spacing w:val="-5"/>
          <w:lang w:eastAsia="x-none"/>
        </w:rPr>
        <w:t>intended to require proof that a defendant knew that his/her actions would be against the law to the extent that awareness of illegality is a necessary prerequisite to acting with the purpos</w:t>
      </w:r>
      <w:r w:rsidR="006F54B1">
        <w:rPr>
          <w:color w:val="auto"/>
          <w:spacing w:val="-5"/>
          <w:lang w:eastAsia="x-none"/>
        </w:rPr>
        <w:t xml:space="preserve">e to avoid criminal liability.  </w:t>
      </w:r>
      <w:r w:rsidR="006F54B1" w:rsidRPr="006F54B1">
        <w:rPr>
          <w:color w:val="auto"/>
          <w:spacing w:val="-5"/>
          <w:lang w:eastAsia="x-none"/>
        </w:rPr>
        <w:t xml:space="preserve">This particularly culpable purpose is arguably what is necessary to render a reckless actor as culpable as a knowing actor.   </w:t>
      </w:r>
    </w:p>
    <w:p w14:paraId="6C9634D2" w14:textId="1A283983" w:rsidR="00306105" w:rsidRDefault="006F54B1" w:rsidP="00306105">
      <w:pPr>
        <w:pStyle w:val="ListParagraph"/>
        <w:numPr>
          <w:ilvl w:val="2"/>
          <w:numId w:val="5"/>
        </w:numPr>
        <w:jc w:val="both"/>
        <w:rPr>
          <w:color w:val="auto"/>
          <w:spacing w:val="-5"/>
          <w:lang w:eastAsia="x-none"/>
        </w:rPr>
      </w:pPr>
      <w:r>
        <w:rPr>
          <w:color w:val="auto"/>
          <w:spacing w:val="-5"/>
          <w:lang w:eastAsia="x-none"/>
        </w:rPr>
        <w:t xml:space="preserve">The group discussed the ways in which </w:t>
      </w:r>
      <w:r w:rsidRPr="006F54B1">
        <w:rPr>
          <w:color w:val="auto"/>
          <w:spacing w:val="-5"/>
          <w:lang w:eastAsia="x-none"/>
        </w:rPr>
        <w:t xml:space="preserve">USAO’s proposed revision might widen the willful blindness doctrine to capture </w:t>
      </w:r>
      <w:r>
        <w:rPr>
          <w:color w:val="auto"/>
          <w:spacing w:val="-5"/>
          <w:lang w:eastAsia="x-none"/>
        </w:rPr>
        <w:t xml:space="preserve">less blameworthy actors.  One example </w:t>
      </w:r>
      <w:r w:rsidRPr="006F54B1">
        <w:rPr>
          <w:color w:val="auto"/>
          <w:spacing w:val="-5"/>
          <w:lang w:eastAsia="x-none"/>
        </w:rPr>
        <w:t>consider</w:t>
      </w:r>
      <w:r>
        <w:rPr>
          <w:color w:val="auto"/>
          <w:spacing w:val="-5"/>
          <w:lang w:eastAsia="x-none"/>
        </w:rPr>
        <w:t>ed was that of</w:t>
      </w:r>
      <w:r w:rsidRPr="006F54B1">
        <w:rPr>
          <w:color w:val="auto"/>
          <w:spacing w:val="-5"/>
          <w:lang w:eastAsia="x-none"/>
        </w:rPr>
        <w:t xml:space="preserve"> a mother who declines to check her child’s backpack that she is transporting </w:t>
      </w:r>
      <w:r>
        <w:rPr>
          <w:color w:val="auto"/>
          <w:spacing w:val="-5"/>
          <w:lang w:eastAsia="x-none"/>
        </w:rPr>
        <w:t xml:space="preserve">based upon a suspicion that it has drugs inside of it because </w:t>
      </w:r>
      <w:r w:rsidRPr="006F54B1">
        <w:rPr>
          <w:color w:val="auto"/>
          <w:spacing w:val="-5"/>
          <w:lang w:eastAsia="x-none"/>
        </w:rPr>
        <w:t xml:space="preserve">she doesn’t want to know whether that child is, in fact, </w:t>
      </w:r>
      <w:r w:rsidRPr="006F54B1">
        <w:rPr>
          <w:color w:val="auto"/>
          <w:spacing w:val="-5"/>
          <w:lang w:eastAsia="x-none"/>
        </w:rPr>
        <w:lastRenderedPageBreak/>
        <w:t>usi</w:t>
      </w:r>
      <w:r>
        <w:rPr>
          <w:color w:val="auto"/>
          <w:spacing w:val="-5"/>
          <w:lang w:eastAsia="x-none"/>
        </w:rPr>
        <w:t xml:space="preserve">ng drugs.  </w:t>
      </w:r>
      <w:r w:rsidR="00480A7A">
        <w:rPr>
          <w:color w:val="auto"/>
          <w:spacing w:val="-5"/>
          <w:lang w:eastAsia="x-none"/>
        </w:rPr>
        <w:t>Several members agreed</w:t>
      </w:r>
      <w:r>
        <w:rPr>
          <w:color w:val="auto"/>
          <w:spacing w:val="-5"/>
          <w:lang w:eastAsia="x-none"/>
        </w:rPr>
        <w:t xml:space="preserve"> that the mother could </w:t>
      </w:r>
      <w:r w:rsidRPr="006F54B1">
        <w:rPr>
          <w:color w:val="auto"/>
          <w:spacing w:val="-5"/>
          <w:lang w:eastAsia="x-none"/>
        </w:rPr>
        <w:t xml:space="preserve">be deemed deliberately ignorant under USAO’s recommended approach since she acts “with the purpose of avoiding knowledge of whether the circumstance existed.”  </w:t>
      </w:r>
    </w:p>
    <w:p w14:paraId="250A5040" w14:textId="20324D73" w:rsidR="005407AD" w:rsidRDefault="005407AD" w:rsidP="00306105">
      <w:pPr>
        <w:pStyle w:val="ListParagraph"/>
        <w:numPr>
          <w:ilvl w:val="2"/>
          <w:numId w:val="5"/>
        </w:numPr>
        <w:jc w:val="both"/>
        <w:rPr>
          <w:color w:val="auto"/>
          <w:spacing w:val="-5"/>
          <w:lang w:eastAsia="x-none"/>
        </w:rPr>
      </w:pPr>
      <w:r>
        <w:rPr>
          <w:color w:val="auto"/>
          <w:spacing w:val="-5"/>
          <w:lang w:eastAsia="x-none"/>
        </w:rPr>
        <w:t>The group discussed the PDS proposal, which would incorporate</w:t>
      </w:r>
      <w:r w:rsidRPr="005407AD">
        <w:rPr>
          <w:color w:val="auto"/>
          <w:spacing w:val="-5"/>
          <w:lang w:eastAsia="x-none"/>
        </w:rPr>
        <w:t xml:space="preserve"> a “primary purpose” test into the second prong of the general provision on deliberate ignorance.  </w:t>
      </w:r>
    </w:p>
    <w:p w14:paraId="62E82253" w14:textId="06098ACD" w:rsidR="00114395" w:rsidRPr="00114395" w:rsidRDefault="005407AD" w:rsidP="00306105">
      <w:pPr>
        <w:pStyle w:val="ListParagraph"/>
        <w:numPr>
          <w:ilvl w:val="2"/>
          <w:numId w:val="5"/>
        </w:numPr>
        <w:jc w:val="both"/>
        <w:rPr>
          <w:color w:val="auto"/>
          <w:spacing w:val="-5"/>
          <w:lang w:eastAsia="x-none"/>
        </w:rPr>
      </w:pPr>
      <w:r>
        <w:t>Staff noted that</w:t>
      </w:r>
      <w:r w:rsidRPr="005407AD">
        <w:t xml:space="preserve"> </w:t>
      </w:r>
      <w:r>
        <w:t>u</w:t>
      </w:r>
      <w:r w:rsidRPr="005407AD">
        <w:t xml:space="preserve">nderlying PDS’ recommendation </w:t>
      </w:r>
      <w:r w:rsidR="00480A7A">
        <w:t xml:space="preserve">was the idea, raised at the last meeting, that </w:t>
      </w:r>
      <w:r w:rsidRPr="00244875">
        <w:t>people have mixed motives for their conduct, and where the desire t</w:t>
      </w:r>
      <w:r w:rsidR="00114395">
        <w:t xml:space="preserve">o avoid criminal liability is a non-primary </w:t>
      </w:r>
      <w:r w:rsidRPr="00244875">
        <w:t xml:space="preserve">motive, </w:t>
      </w:r>
      <w:proofErr w:type="gramStart"/>
      <w:r w:rsidRPr="00244875">
        <w:t>then</w:t>
      </w:r>
      <w:proofErr w:type="gramEnd"/>
      <w:r w:rsidRPr="00244875">
        <w:t xml:space="preserve"> imputation of knowledge </w:t>
      </w:r>
      <w:r w:rsidR="00114395">
        <w:t>could</w:t>
      </w:r>
      <w:r w:rsidRPr="00244875">
        <w:rPr>
          <w:i/>
        </w:rPr>
        <w:t xml:space="preserve"> </w:t>
      </w:r>
      <w:r w:rsidRPr="00244875">
        <w:t>be disproportionate.</w:t>
      </w:r>
      <w:r w:rsidR="00114395">
        <w:t xml:space="preserve">  Staff explained, however, that where the primary motive</w:t>
      </w:r>
      <w:r w:rsidR="00114395" w:rsidRPr="00114395">
        <w:t xml:space="preserve"> is something itself blameworthy</w:t>
      </w:r>
      <w:r w:rsidR="00114395">
        <w:t>—</w:t>
      </w:r>
      <w:r w:rsidR="00114395">
        <w:rPr>
          <w:color w:val="auto"/>
          <w:spacing w:val="-5"/>
          <w:lang w:eastAsia="x-none"/>
        </w:rPr>
        <w:t xml:space="preserve">for example, </w:t>
      </w:r>
      <w:r w:rsidR="00114395">
        <w:t>the desire to</w:t>
      </w:r>
      <w:r w:rsidR="00114395" w:rsidRPr="00114395">
        <w:t xml:space="preserve"> continue receivin</w:t>
      </w:r>
      <w:r w:rsidR="00114395">
        <w:t>g benefits from participation in a suspected conspiracy—</w:t>
      </w:r>
      <w:r w:rsidR="00114395" w:rsidRPr="00114395">
        <w:t>then the fact that avoiding criminal liability was a lesser motive does not seem to cut against imputing knowledge.</w:t>
      </w:r>
      <w:r w:rsidR="00114395">
        <w:t xml:space="preserve"> </w:t>
      </w:r>
    </w:p>
    <w:p w14:paraId="61DFDA34" w14:textId="77777777" w:rsidR="003560A8" w:rsidRPr="002C40F7" w:rsidRDefault="00114395" w:rsidP="00114395">
      <w:pPr>
        <w:pStyle w:val="ListParagraph"/>
        <w:numPr>
          <w:ilvl w:val="2"/>
          <w:numId w:val="5"/>
        </w:numPr>
        <w:jc w:val="both"/>
        <w:rPr>
          <w:b/>
          <w:color w:val="auto"/>
          <w:spacing w:val="-5"/>
          <w:lang w:eastAsia="x-none"/>
        </w:rPr>
      </w:pPr>
      <w:r>
        <w:t>Staff explained that, based upon preliminary research,</w:t>
      </w:r>
      <w:r w:rsidRPr="00114395">
        <w:t xml:space="preserve"> </w:t>
      </w:r>
      <w:r w:rsidR="006A730A">
        <w:t xml:space="preserve">to the extent that </w:t>
      </w:r>
      <w:r w:rsidRPr="00114395">
        <w:t>courts have confronted the issue of mixed criminal motives</w:t>
      </w:r>
      <w:r>
        <w:t xml:space="preserve"> in other contexts</w:t>
      </w:r>
      <w:r w:rsidR="006A730A">
        <w:t>, they</w:t>
      </w:r>
      <w:r>
        <w:t xml:space="preserve"> appear to</w:t>
      </w:r>
      <w:r w:rsidRPr="00114395">
        <w:t xml:space="preserve"> have adopted the subs</w:t>
      </w:r>
      <w:r>
        <w:t xml:space="preserve">tantial motivating factor test.  </w:t>
      </w:r>
    </w:p>
    <w:p w14:paraId="534BF0C0" w14:textId="52C390E9" w:rsidR="00114395" w:rsidRPr="004223C5" w:rsidRDefault="003560A8" w:rsidP="00114395">
      <w:pPr>
        <w:pStyle w:val="ListParagraph"/>
        <w:numPr>
          <w:ilvl w:val="2"/>
          <w:numId w:val="5"/>
        </w:numPr>
        <w:jc w:val="both"/>
        <w:rPr>
          <w:b/>
          <w:color w:val="auto"/>
          <w:spacing w:val="-5"/>
          <w:lang w:eastAsia="x-none"/>
        </w:rPr>
      </w:pPr>
      <w:r>
        <w:t xml:space="preserve">Staff proposed the possibility of preserving the current version of the purpose prong but then clarifying through commentary that the purpose to preserve a defense must be a “substantial factor” in the actor’s avoiding confirming or failing </w:t>
      </w:r>
      <w:r w:rsidRPr="00244875">
        <w:t>to investigate whether the</w:t>
      </w:r>
      <w:r>
        <w:t xml:space="preserve"> suspected</w:t>
      </w:r>
      <w:r w:rsidRPr="00244875">
        <w:t xml:space="preserve"> circumstance</w:t>
      </w:r>
      <w:r>
        <w:t xml:space="preserve"> exists.  The representatives of both </w:t>
      </w:r>
      <w:r>
        <w:rPr>
          <w:color w:val="auto"/>
          <w:spacing w:val="-5"/>
          <w:lang w:eastAsia="x-none"/>
        </w:rPr>
        <w:t>the Offic</w:t>
      </w:r>
      <w:r w:rsidR="006A5F8A">
        <w:rPr>
          <w:color w:val="auto"/>
          <w:spacing w:val="-5"/>
          <w:lang w:eastAsia="x-none"/>
        </w:rPr>
        <w:t>e of the Attorney General (OAG)</w:t>
      </w:r>
      <w:r>
        <w:rPr>
          <w:color w:val="auto"/>
          <w:spacing w:val="-5"/>
          <w:lang w:eastAsia="x-none"/>
        </w:rPr>
        <w:t xml:space="preserve"> and PDS appeared to express interest in pursuing such an approach.</w:t>
      </w:r>
    </w:p>
    <w:p w14:paraId="223A0927" w14:textId="319A6F8D" w:rsidR="001954FE" w:rsidRDefault="001954FE" w:rsidP="004223C5">
      <w:pPr>
        <w:pStyle w:val="ListParagraph"/>
        <w:numPr>
          <w:ilvl w:val="1"/>
          <w:numId w:val="5"/>
        </w:numPr>
        <w:jc w:val="both"/>
        <w:rPr>
          <w:b/>
          <w:color w:val="auto"/>
          <w:spacing w:val="-5"/>
          <w:lang w:eastAsia="x-none"/>
        </w:rPr>
      </w:pPr>
      <w:r>
        <w:rPr>
          <w:b/>
          <w:color w:val="auto"/>
          <w:spacing w:val="-5"/>
          <w:lang w:eastAsia="x-none"/>
        </w:rPr>
        <w:t>Correspondence betwee</w:t>
      </w:r>
      <w:r w:rsidR="00944D7F">
        <w:rPr>
          <w:b/>
          <w:color w:val="auto"/>
          <w:spacing w:val="-5"/>
          <w:lang w:eastAsia="x-none"/>
        </w:rPr>
        <w:t xml:space="preserve">n intoxication and negligence.  </w:t>
      </w:r>
      <w:r w:rsidR="00944D7F">
        <w:rPr>
          <w:color w:val="auto"/>
          <w:spacing w:val="-5"/>
          <w:lang w:eastAsia="x-none"/>
        </w:rPr>
        <w:t>The group discussed alternate proposals for language on the correspondence between intoxication and negligence submitted by OAG and PDS.</w:t>
      </w:r>
    </w:p>
    <w:p w14:paraId="5617D471" w14:textId="10B80B10" w:rsidR="004223C5" w:rsidRPr="00944D7F" w:rsidRDefault="00944D7F" w:rsidP="001954FE">
      <w:pPr>
        <w:pStyle w:val="ListParagraph"/>
        <w:numPr>
          <w:ilvl w:val="2"/>
          <w:numId w:val="5"/>
        </w:numPr>
        <w:jc w:val="both"/>
        <w:rPr>
          <w:b/>
          <w:color w:val="auto"/>
          <w:spacing w:val="-5"/>
          <w:lang w:eastAsia="x-none"/>
        </w:rPr>
      </w:pPr>
      <w:r>
        <w:t xml:space="preserve">The group discussed </w:t>
      </w:r>
      <w:r w:rsidRPr="00244875">
        <w:t>OAG</w:t>
      </w:r>
      <w:r>
        <w:t xml:space="preserve">’s proposal for a statutory statement </w:t>
      </w:r>
      <w:r w:rsidRPr="00244875">
        <w:t>that explicitly states that a person’s intoxication does not negate the culpable mental sta</w:t>
      </w:r>
      <w:r>
        <w:t>te of negligence.</w:t>
      </w:r>
      <w:r w:rsidRPr="00244875">
        <w:t xml:space="preserve"> </w:t>
      </w:r>
    </w:p>
    <w:p w14:paraId="0FA69B36" w14:textId="0F9586E7" w:rsidR="00AB4BA7" w:rsidRPr="00AB4BA7" w:rsidRDefault="00AB4BA7" w:rsidP="001954FE">
      <w:pPr>
        <w:pStyle w:val="ListParagraph"/>
        <w:numPr>
          <w:ilvl w:val="2"/>
          <w:numId w:val="5"/>
        </w:numPr>
        <w:jc w:val="both"/>
        <w:rPr>
          <w:color w:val="auto"/>
          <w:spacing w:val="-5"/>
          <w:lang w:eastAsia="x-none"/>
        </w:rPr>
      </w:pPr>
      <w:r>
        <w:rPr>
          <w:color w:val="auto"/>
          <w:spacing w:val="-5"/>
          <w:lang w:eastAsia="x-none"/>
        </w:rPr>
        <w:t>Staff explained that a blanket statement of this nature</w:t>
      </w:r>
      <w:r w:rsidR="000272B3">
        <w:rPr>
          <w:color w:val="auto"/>
          <w:spacing w:val="-5"/>
          <w:lang w:eastAsia="x-none"/>
        </w:rPr>
        <w:t>, while providing clarity as to voluntary intoxication,</w:t>
      </w:r>
      <w:r>
        <w:rPr>
          <w:color w:val="auto"/>
          <w:spacing w:val="-5"/>
          <w:lang w:eastAsia="x-none"/>
        </w:rPr>
        <w:t xml:space="preserve"> could improperly exclude</w:t>
      </w:r>
      <w:r w:rsidRPr="00AB4BA7">
        <w:rPr>
          <w:color w:val="auto"/>
          <w:spacing w:val="-5"/>
          <w:lang w:eastAsia="x-none"/>
        </w:rPr>
        <w:t xml:space="preserve"> evidence of involuntary intoxication.</w:t>
      </w:r>
      <w:r>
        <w:rPr>
          <w:color w:val="auto"/>
          <w:spacing w:val="-5"/>
          <w:lang w:eastAsia="x-none"/>
        </w:rPr>
        <w:t xml:space="preserve">  OAG </w:t>
      </w:r>
      <w:r w:rsidR="000272B3">
        <w:rPr>
          <w:color w:val="auto"/>
          <w:spacing w:val="-5"/>
          <w:lang w:eastAsia="x-none"/>
        </w:rPr>
        <w:t>agreed</w:t>
      </w:r>
      <w:r>
        <w:rPr>
          <w:color w:val="auto"/>
          <w:spacing w:val="-5"/>
          <w:lang w:eastAsia="x-none"/>
        </w:rPr>
        <w:t xml:space="preserve"> that it intended this statement to apply t</w:t>
      </w:r>
      <w:r w:rsidR="000272B3">
        <w:rPr>
          <w:color w:val="auto"/>
          <w:spacing w:val="-5"/>
          <w:lang w:eastAsia="x-none"/>
        </w:rPr>
        <w:t>o self-induced, not involuntary</w:t>
      </w:r>
      <w:r>
        <w:rPr>
          <w:color w:val="auto"/>
          <w:spacing w:val="-5"/>
          <w:lang w:eastAsia="x-none"/>
        </w:rPr>
        <w:t xml:space="preserve"> intoxication.  </w:t>
      </w:r>
      <w:r w:rsidR="000272B3">
        <w:rPr>
          <w:color w:val="auto"/>
          <w:spacing w:val="-5"/>
          <w:lang w:eastAsia="x-none"/>
        </w:rPr>
        <w:t>Other members of the Advisory G</w:t>
      </w:r>
      <w:r>
        <w:rPr>
          <w:color w:val="auto"/>
          <w:spacing w:val="-5"/>
          <w:lang w:eastAsia="x-none"/>
        </w:rPr>
        <w:t xml:space="preserve">roup affirmed this position, indicating a general consensus that while evidence of involuntary intoxication may negate negligence, evidence of self-induced intoxication may not.  The remaining question is how best to codify this point.   </w:t>
      </w:r>
      <w:r w:rsidRPr="00AB4BA7">
        <w:rPr>
          <w:color w:val="auto"/>
          <w:spacing w:val="-5"/>
          <w:lang w:eastAsia="x-none"/>
        </w:rPr>
        <w:t xml:space="preserve">  </w:t>
      </w:r>
    </w:p>
    <w:p w14:paraId="6878F3F3" w14:textId="15CFE279" w:rsidR="001342CC" w:rsidRDefault="00AB4BA7" w:rsidP="00AB4BA7">
      <w:pPr>
        <w:pStyle w:val="ListParagraph"/>
        <w:numPr>
          <w:ilvl w:val="2"/>
          <w:numId w:val="5"/>
        </w:numPr>
        <w:jc w:val="both"/>
        <w:rPr>
          <w:color w:val="auto"/>
          <w:spacing w:val="-5"/>
          <w:lang w:eastAsia="x-none"/>
        </w:rPr>
      </w:pPr>
      <w:r w:rsidRPr="00AB4BA7">
        <w:rPr>
          <w:color w:val="auto"/>
          <w:spacing w:val="-5"/>
          <w:lang w:eastAsia="x-none"/>
        </w:rPr>
        <w:lastRenderedPageBreak/>
        <w:t xml:space="preserve"> </w:t>
      </w:r>
      <w:r>
        <w:rPr>
          <w:color w:val="auto"/>
          <w:spacing w:val="-5"/>
          <w:lang w:eastAsia="x-none"/>
        </w:rPr>
        <w:t>The group then discussed PDS’ specific proposal to accomplishing this goal, which clarifies that</w:t>
      </w:r>
      <w:r w:rsidR="00BE4523">
        <w:rPr>
          <w:color w:val="auto"/>
          <w:spacing w:val="-5"/>
          <w:lang w:eastAsia="x-none"/>
        </w:rPr>
        <w:t>:</w:t>
      </w:r>
      <w:r>
        <w:rPr>
          <w:color w:val="auto"/>
          <w:spacing w:val="-5"/>
          <w:lang w:eastAsia="x-none"/>
        </w:rPr>
        <w:t xml:space="preserve"> “</w:t>
      </w:r>
      <w:r w:rsidRPr="00AB4BA7">
        <w:rPr>
          <w:color w:val="auto"/>
          <w:spacing w:val="-5"/>
          <w:lang w:eastAsia="x-none"/>
        </w:rPr>
        <w:t>A person’s intoxication negates the existence of the culpable mental state of negligence applicable to a result or circumstance when, due to the person’s intoxicated state, that person failed to perceive a substantial risk that the person’s conduct will cause that result or that the circumstance exists, and the person’s intoxication was not self-induced.</w:t>
      </w:r>
      <w:r>
        <w:rPr>
          <w:color w:val="auto"/>
          <w:spacing w:val="-5"/>
          <w:lang w:eastAsia="x-none"/>
        </w:rPr>
        <w:t>”</w:t>
      </w:r>
    </w:p>
    <w:p w14:paraId="3A3D85C7" w14:textId="5305A09C" w:rsidR="00AB4BA7" w:rsidRDefault="00AB4BA7" w:rsidP="00AB4BA7">
      <w:pPr>
        <w:pStyle w:val="ListParagraph"/>
        <w:numPr>
          <w:ilvl w:val="2"/>
          <w:numId w:val="5"/>
        </w:numPr>
        <w:jc w:val="both"/>
        <w:rPr>
          <w:color w:val="auto"/>
          <w:spacing w:val="-5"/>
          <w:lang w:eastAsia="x-none"/>
        </w:rPr>
      </w:pPr>
      <w:r>
        <w:rPr>
          <w:color w:val="auto"/>
          <w:spacing w:val="-5"/>
          <w:lang w:eastAsia="x-none"/>
        </w:rPr>
        <w:t xml:space="preserve">Staff explained that while the PDS proposal intuitively tracks other general provisions, it may not effectively communicate </w:t>
      </w:r>
      <w:r w:rsidR="000272B3">
        <w:rPr>
          <w:color w:val="auto"/>
          <w:spacing w:val="-5"/>
          <w:lang w:eastAsia="x-none"/>
        </w:rPr>
        <w:t>an</w:t>
      </w:r>
      <w:r>
        <w:rPr>
          <w:color w:val="auto"/>
          <w:spacing w:val="-5"/>
          <w:lang w:eastAsia="x-none"/>
        </w:rPr>
        <w:t xml:space="preserve"> underlying point</w:t>
      </w:r>
      <w:r w:rsidR="000272B3">
        <w:rPr>
          <w:color w:val="auto"/>
          <w:spacing w:val="-5"/>
          <w:lang w:eastAsia="x-none"/>
        </w:rPr>
        <w:t xml:space="preserve"> regarding the gross deviation prong of the negligence definition</w:t>
      </w:r>
      <w:r>
        <w:rPr>
          <w:color w:val="auto"/>
          <w:spacing w:val="-5"/>
          <w:lang w:eastAsia="x-none"/>
        </w:rPr>
        <w:t xml:space="preserve">.  Staff presented potential alternative language, which raised various questions concerning the relationship between recklessness, negligence, and intoxication.  Staff noted that PDS’ proposal may have highlighted the need for some minor revisions to the RCC’s definition of negligence, which in turn might simplify the task of addressing the relationship between negligence and intoxication.  </w:t>
      </w:r>
    </w:p>
    <w:p w14:paraId="53961300" w14:textId="6B8AA442" w:rsidR="00AB4BA7" w:rsidRDefault="00726174" w:rsidP="00AB4BA7">
      <w:pPr>
        <w:pStyle w:val="ListParagraph"/>
        <w:numPr>
          <w:ilvl w:val="2"/>
          <w:numId w:val="5"/>
        </w:numPr>
        <w:jc w:val="both"/>
        <w:rPr>
          <w:color w:val="auto"/>
          <w:spacing w:val="-5"/>
          <w:lang w:eastAsia="x-none"/>
        </w:rPr>
      </w:pPr>
      <w:r>
        <w:rPr>
          <w:color w:val="auto"/>
          <w:spacing w:val="-5"/>
          <w:lang w:eastAsia="x-none"/>
        </w:rPr>
        <w:t xml:space="preserve">The Executive Director noted that, in addition to ongoing revision of a general provision on the relationship between negligence and intoxication, consideration of addressing all of the foregoing issues through commentary might also be appropriate. </w:t>
      </w:r>
    </w:p>
    <w:p w14:paraId="65A48DF7" w14:textId="387C1574" w:rsidR="00F70DAF" w:rsidRDefault="00F70DAF" w:rsidP="00F70DAF">
      <w:pPr>
        <w:pStyle w:val="ListParagraph"/>
        <w:numPr>
          <w:ilvl w:val="1"/>
          <w:numId w:val="5"/>
        </w:numPr>
        <w:jc w:val="both"/>
        <w:rPr>
          <w:b/>
          <w:color w:val="auto"/>
          <w:spacing w:val="-5"/>
          <w:lang w:eastAsia="x-none"/>
        </w:rPr>
      </w:pPr>
      <w:r>
        <w:rPr>
          <w:b/>
          <w:color w:val="auto"/>
          <w:spacing w:val="-5"/>
          <w:lang w:eastAsia="x-none"/>
        </w:rPr>
        <w:t xml:space="preserve">Definition of self-induced intoxication.  </w:t>
      </w:r>
      <w:r>
        <w:rPr>
          <w:color w:val="auto"/>
          <w:spacing w:val="-5"/>
          <w:lang w:eastAsia="x-none"/>
        </w:rPr>
        <w:t>The group discussed PDS’</w:t>
      </w:r>
      <w:r w:rsidR="00BB1156">
        <w:rPr>
          <w:color w:val="auto"/>
          <w:spacing w:val="-5"/>
          <w:lang w:eastAsia="x-none"/>
        </w:rPr>
        <w:t xml:space="preserve"> proposed definition of self-induced intoxication.</w:t>
      </w:r>
    </w:p>
    <w:p w14:paraId="74E73510" w14:textId="60D92022" w:rsidR="00F70DAF" w:rsidRPr="00071ECE" w:rsidRDefault="003548F8" w:rsidP="00F70DAF">
      <w:pPr>
        <w:pStyle w:val="ListParagraph"/>
        <w:numPr>
          <w:ilvl w:val="2"/>
          <w:numId w:val="5"/>
        </w:numPr>
        <w:jc w:val="both"/>
        <w:rPr>
          <w:b/>
          <w:color w:val="auto"/>
          <w:spacing w:val="-5"/>
          <w:lang w:eastAsia="x-none"/>
        </w:rPr>
      </w:pPr>
      <w:r>
        <w:rPr>
          <w:color w:val="auto"/>
          <w:spacing w:val="-5"/>
          <w:lang w:eastAsia="x-none"/>
        </w:rPr>
        <w:t>Staff explained that PDS’</w:t>
      </w:r>
      <w:r w:rsidRPr="003548F8">
        <w:rPr>
          <w:color w:val="auto"/>
          <w:spacing w:val="-5"/>
          <w:lang w:eastAsia="x-none"/>
        </w:rPr>
        <w:t xml:space="preserve"> general recommendation to codify a definition of self-indu</w:t>
      </w:r>
      <w:r>
        <w:rPr>
          <w:color w:val="auto"/>
          <w:spacing w:val="-5"/>
          <w:lang w:eastAsia="x-none"/>
        </w:rPr>
        <w:t>ced intoxication is well taken and that</w:t>
      </w:r>
      <w:r w:rsidRPr="003548F8">
        <w:rPr>
          <w:color w:val="auto"/>
          <w:spacing w:val="-5"/>
          <w:lang w:eastAsia="x-none"/>
        </w:rPr>
        <w:t xml:space="preserve"> the MPC definition</w:t>
      </w:r>
      <w:r>
        <w:rPr>
          <w:color w:val="auto"/>
          <w:spacing w:val="-5"/>
          <w:lang w:eastAsia="x-none"/>
        </w:rPr>
        <w:t xml:space="preserve"> which forms the basis of PDS’s proposal</w:t>
      </w:r>
      <w:r w:rsidRPr="003548F8">
        <w:rPr>
          <w:color w:val="auto"/>
          <w:spacing w:val="-5"/>
          <w:lang w:eastAsia="x-none"/>
        </w:rPr>
        <w:t xml:space="preserve"> </w:t>
      </w:r>
      <w:r w:rsidR="005F2D45">
        <w:rPr>
          <w:color w:val="auto"/>
          <w:spacing w:val="-5"/>
          <w:lang w:eastAsia="x-none"/>
        </w:rPr>
        <w:t>may provide</w:t>
      </w:r>
      <w:r w:rsidRPr="003548F8">
        <w:rPr>
          <w:color w:val="auto"/>
          <w:spacing w:val="-5"/>
          <w:lang w:eastAsia="x-none"/>
        </w:rPr>
        <w:t xml:space="preserve"> the best existing basis for a statutory approach to the relevant issues.</w:t>
      </w:r>
      <w:r>
        <w:rPr>
          <w:color w:val="auto"/>
          <w:spacing w:val="-5"/>
          <w:lang w:eastAsia="x-none"/>
        </w:rPr>
        <w:t xml:space="preserve">  S</w:t>
      </w:r>
      <w:r w:rsidRPr="003548F8">
        <w:rPr>
          <w:color w:val="auto"/>
          <w:spacing w:val="-5"/>
          <w:lang w:eastAsia="x-none"/>
        </w:rPr>
        <w:t>taff</w:t>
      </w:r>
      <w:r>
        <w:rPr>
          <w:color w:val="auto"/>
          <w:spacing w:val="-5"/>
          <w:lang w:eastAsia="x-none"/>
        </w:rPr>
        <w:t xml:space="preserve"> noted, however, that the </w:t>
      </w:r>
      <w:r w:rsidR="005F2D45">
        <w:rPr>
          <w:color w:val="auto"/>
          <w:spacing w:val="-5"/>
          <w:lang w:eastAsia="x-none"/>
        </w:rPr>
        <w:t xml:space="preserve">PDS </w:t>
      </w:r>
      <w:r>
        <w:rPr>
          <w:color w:val="auto"/>
          <w:spacing w:val="-5"/>
          <w:lang w:eastAsia="x-none"/>
        </w:rPr>
        <w:t>proposal might be too broad with respect to treatment of intoxicating substa</w:t>
      </w:r>
      <w:r w:rsidR="00071ECE">
        <w:rPr>
          <w:color w:val="auto"/>
          <w:spacing w:val="-5"/>
          <w:lang w:eastAsia="x-none"/>
        </w:rPr>
        <w:t xml:space="preserve">nces prescribed by a physician, </w:t>
      </w:r>
      <w:r w:rsidR="005F2D45">
        <w:rPr>
          <w:color w:val="auto"/>
          <w:spacing w:val="-5"/>
          <w:lang w:eastAsia="x-none"/>
        </w:rPr>
        <w:t>insofar as it could be interpreted to mean</w:t>
      </w:r>
      <w:r w:rsidR="00071ECE">
        <w:rPr>
          <w:color w:val="auto"/>
          <w:spacing w:val="-5"/>
          <w:lang w:eastAsia="x-none"/>
        </w:rPr>
        <w:t xml:space="preserve"> that</w:t>
      </w:r>
      <w:r w:rsidR="00071ECE" w:rsidRPr="00071ECE">
        <w:rPr>
          <w:color w:val="auto"/>
          <w:spacing w:val="-5"/>
          <w:lang w:eastAsia="x-none"/>
        </w:rPr>
        <w:t xml:space="preserve"> a person who is prescribed an</w:t>
      </w:r>
      <w:r w:rsidR="00071ECE">
        <w:rPr>
          <w:color w:val="auto"/>
          <w:spacing w:val="-5"/>
          <w:lang w:eastAsia="x-none"/>
        </w:rPr>
        <w:t xml:space="preserve"> intoxicating substance, and</w:t>
      </w:r>
      <w:r w:rsidR="00071ECE" w:rsidRPr="00071ECE">
        <w:rPr>
          <w:color w:val="auto"/>
          <w:spacing w:val="-5"/>
          <w:lang w:eastAsia="x-none"/>
        </w:rPr>
        <w:t xml:space="preserve"> is aware that it is</w:t>
      </w:r>
      <w:r w:rsidR="00071ECE">
        <w:rPr>
          <w:color w:val="auto"/>
          <w:spacing w:val="-5"/>
          <w:lang w:eastAsia="x-none"/>
        </w:rPr>
        <w:t xml:space="preserve"> an intoxicating substance, </w:t>
      </w:r>
      <w:r w:rsidR="00071ECE" w:rsidRPr="00071ECE">
        <w:rPr>
          <w:color w:val="auto"/>
          <w:spacing w:val="-5"/>
          <w:lang w:eastAsia="x-none"/>
        </w:rPr>
        <w:t xml:space="preserve">may have that substance’s intoxicating effect held against him for any crime committed regardless of the circumstances.  </w:t>
      </w:r>
    </w:p>
    <w:p w14:paraId="68AC1BBA" w14:textId="77777777" w:rsidR="00E17F38" w:rsidRPr="00E17F38" w:rsidRDefault="00071ECE" w:rsidP="00F70DAF">
      <w:pPr>
        <w:pStyle w:val="ListParagraph"/>
        <w:numPr>
          <w:ilvl w:val="2"/>
          <w:numId w:val="5"/>
        </w:numPr>
        <w:jc w:val="both"/>
        <w:rPr>
          <w:b/>
          <w:color w:val="auto"/>
          <w:spacing w:val="-5"/>
          <w:lang w:eastAsia="x-none"/>
        </w:rPr>
      </w:pPr>
      <w:r>
        <w:rPr>
          <w:color w:val="000000"/>
        </w:rPr>
        <w:t xml:space="preserve">The group discussed various examples illustrating that a person who is prescribed </w:t>
      </w:r>
      <w:r w:rsidR="00E17F38">
        <w:rPr>
          <w:color w:val="000000"/>
        </w:rPr>
        <w:t xml:space="preserve">intoxicating medication, knowing its intoxicating effects, should sometimes be able to present evidence of that intoxication to prove the absence of recklessness or negligence.  </w:t>
      </w:r>
    </w:p>
    <w:p w14:paraId="268AB400" w14:textId="77777777" w:rsidR="005277DD" w:rsidRPr="005277DD" w:rsidRDefault="00E17F38" w:rsidP="00F70DAF">
      <w:pPr>
        <w:pStyle w:val="ListParagraph"/>
        <w:numPr>
          <w:ilvl w:val="2"/>
          <w:numId w:val="5"/>
        </w:numPr>
        <w:jc w:val="both"/>
        <w:rPr>
          <w:b/>
          <w:color w:val="auto"/>
          <w:spacing w:val="-5"/>
          <w:lang w:eastAsia="x-none"/>
        </w:rPr>
      </w:pPr>
      <w:r>
        <w:rPr>
          <w:color w:val="000000"/>
        </w:rPr>
        <w:t xml:space="preserve">Staff presented a potential proposed revision that would address this issue, establishing that self-induced intoxication does not cover intoxicating substances </w:t>
      </w:r>
      <w:r w:rsidRPr="00E17F38">
        <w:rPr>
          <w:color w:val="000000"/>
        </w:rPr>
        <w:t xml:space="preserve">“introduce[d] . . . </w:t>
      </w:r>
      <w:r w:rsidRPr="00E17F38">
        <w:rPr>
          <w:i/>
          <w:color w:val="000000"/>
        </w:rPr>
        <w:t>pursuant to and in accordance with</w:t>
      </w:r>
      <w:r w:rsidRPr="00E17F38">
        <w:rPr>
          <w:color w:val="000000"/>
        </w:rPr>
        <w:t xml:space="preserve"> medical advice.”</w:t>
      </w:r>
      <w:r>
        <w:rPr>
          <w:color w:val="000000"/>
        </w:rPr>
        <w:t xml:space="preserve">  The group generally liked this approach, but noted that important caveats should be made through commentary. </w:t>
      </w:r>
    </w:p>
    <w:p w14:paraId="6308B890" w14:textId="77777777" w:rsidR="00BE129E" w:rsidRPr="00BE129E" w:rsidRDefault="00E17F38" w:rsidP="00F70DAF">
      <w:pPr>
        <w:pStyle w:val="ListParagraph"/>
        <w:numPr>
          <w:ilvl w:val="2"/>
          <w:numId w:val="5"/>
        </w:numPr>
        <w:jc w:val="both"/>
        <w:rPr>
          <w:b/>
          <w:color w:val="auto"/>
          <w:spacing w:val="-5"/>
          <w:lang w:eastAsia="x-none"/>
        </w:rPr>
      </w:pPr>
      <w:r>
        <w:rPr>
          <w:color w:val="000000"/>
        </w:rPr>
        <w:t xml:space="preserve"> Staff noted that these caveats might include that such language: (1) </w:t>
      </w:r>
      <w:r w:rsidRPr="00E17F38">
        <w:rPr>
          <w:color w:val="000000"/>
        </w:rPr>
        <w:t>does not include cases where a patient knowingly takes m</w:t>
      </w:r>
      <w:r>
        <w:rPr>
          <w:color w:val="000000"/>
        </w:rPr>
        <w:t xml:space="preserve">ore than the </w:t>
      </w:r>
      <w:r>
        <w:rPr>
          <w:color w:val="000000"/>
        </w:rPr>
        <w:lastRenderedPageBreak/>
        <w:t>prescribed dosage; (2)</w:t>
      </w:r>
      <w:r w:rsidRPr="00E17F38">
        <w:rPr>
          <w:color w:val="000000"/>
        </w:rPr>
        <w:t xml:space="preserve"> mixes a prescription medication with alcohol </w:t>
      </w:r>
      <w:r>
        <w:rPr>
          <w:color w:val="000000"/>
        </w:rPr>
        <w:t xml:space="preserve">or other controlled substances; or (3) one </w:t>
      </w:r>
      <w:r w:rsidRPr="00E17F38">
        <w:rPr>
          <w:color w:val="000000"/>
        </w:rPr>
        <w:t>who undertakes an activity incompatible with the drug’s side effects.</w:t>
      </w:r>
      <w:r w:rsidR="005277DD">
        <w:rPr>
          <w:color w:val="000000"/>
        </w:rPr>
        <w:t xml:space="preserve">  The group generally agreed with these caveats. </w:t>
      </w:r>
    </w:p>
    <w:p w14:paraId="64EB9C13" w14:textId="5B368D84" w:rsidR="00F70DAF" w:rsidRPr="00BE129E" w:rsidRDefault="00BE129E" w:rsidP="004434BC">
      <w:pPr>
        <w:pStyle w:val="ListParagraph"/>
        <w:numPr>
          <w:ilvl w:val="2"/>
          <w:numId w:val="5"/>
        </w:numPr>
        <w:ind w:left="1440"/>
        <w:jc w:val="both"/>
        <w:rPr>
          <w:color w:val="auto"/>
          <w:spacing w:val="-5"/>
          <w:lang w:eastAsia="x-none"/>
        </w:rPr>
      </w:pPr>
      <w:r>
        <w:rPr>
          <w:color w:val="000000"/>
        </w:rPr>
        <w:t xml:space="preserve">Staff noted one final drafting point: </w:t>
      </w:r>
      <w:r w:rsidRPr="00244875">
        <w:rPr>
          <w:color w:val="000000"/>
        </w:rPr>
        <w:t>the phrase “</w:t>
      </w:r>
      <w:r w:rsidRPr="00244875">
        <w:t>under such circumstances as would afford a defense to a charge of crime” leaves ambiguous the ty</w:t>
      </w:r>
      <w:r>
        <w:t>pe of defense that is relevant.  Staff explained that what is intended here are the</w:t>
      </w:r>
      <w:r w:rsidRPr="00244875">
        <w:t xml:space="preserve"> circumstances relevant to a justification or excuse defense—for example, intoxication caused by duress—but not circumstances relevant to a failure of proof defense.</w:t>
      </w:r>
      <w:r>
        <w:t xml:space="preserve"> With that in mind, staff proposed that the</w:t>
      </w:r>
      <w:r w:rsidRPr="00244875">
        <w:t xml:space="preserve"> relevant language be modified to read: “under such circumstances as would afford a </w:t>
      </w:r>
      <w:r w:rsidRPr="00244875">
        <w:rPr>
          <w:i/>
        </w:rPr>
        <w:t>justification or excuse</w:t>
      </w:r>
      <w:r w:rsidRPr="00244875">
        <w:t xml:space="preserve"> defense to a charge of crime.”</w:t>
      </w:r>
      <w:r>
        <w:t xml:space="preserve">  There was general agreement that this revision was sound.</w:t>
      </w:r>
      <w:r w:rsidRPr="00244875">
        <w:t xml:space="preserve">   </w:t>
      </w:r>
      <w:r>
        <w:rPr>
          <w:color w:val="auto"/>
          <w:spacing w:val="-5"/>
          <w:lang w:eastAsia="x-none"/>
        </w:rPr>
        <w:t xml:space="preserve">  </w:t>
      </w:r>
    </w:p>
    <w:p w14:paraId="3DCF6915" w14:textId="77777777" w:rsidR="00F70DAF" w:rsidRPr="00BF3DD1" w:rsidRDefault="00F70DAF" w:rsidP="004434BC">
      <w:pPr>
        <w:pStyle w:val="ListParagraph"/>
        <w:ind w:left="1440"/>
        <w:jc w:val="both"/>
        <w:rPr>
          <w:color w:val="auto"/>
          <w:spacing w:val="-5"/>
          <w:lang w:eastAsia="x-none"/>
        </w:rPr>
      </w:pPr>
    </w:p>
    <w:p w14:paraId="5EE88D0C" w14:textId="5100B72E" w:rsidR="004223C5" w:rsidRDefault="004223C5" w:rsidP="004434BC">
      <w:pPr>
        <w:pStyle w:val="BodyText"/>
        <w:numPr>
          <w:ilvl w:val="0"/>
          <w:numId w:val="5"/>
        </w:numPr>
        <w:spacing w:after="0" w:line="240" w:lineRule="auto"/>
        <w:rPr>
          <w:rFonts w:ascii="Times New Roman" w:hAnsi="Times New Roman"/>
          <w:b/>
          <w:sz w:val="24"/>
          <w:szCs w:val="24"/>
          <w:lang w:val="en-US"/>
        </w:rPr>
      </w:pPr>
      <w:r w:rsidRPr="004223C5">
        <w:rPr>
          <w:rFonts w:ascii="Times New Roman" w:hAnsi="Times New Roman"/>
          <w:b/>
          <w:sz w:val="24"/>
          <w:szCs w:val="24"/>
        </w:rPr>
        <w:t xml:space="preserve">Discussion of </w:t>
      </w:r>
      <w:r w:rsidR="004434BC">
        <w:rPr>
          <w:rFonts w:ascii="Times New Roman" w:hAnsi="Times New Roman"/>
          <w:b/>
          <w:sz w:val="24"/>
          <w:szCs w:val="24"/>
          <w:lang w:val="en-US"/>
        </w:rPr>
        <w:t xml:space="preserve">Commentary of the Rule of Lenity.  </w:t>
      </w:r>
    </w:p>
    <w:p w14:paraId="5AEFFEC3" w14:textId="2535AFF1" w:rsidR="007D1673" w:rsidRDefault="007D1673" w:rsidP="007D1673">
      <w:pPr>
        <w:pStyle w:val="BodyText"/>
        <w:numPr>
          <w:ilvl w:val="1"/>
          <w:numId w:val="5"/>
        </w:numPr>
        <w:spacing w:after="0" w:line="276" w:lineRule="auto"/>
        <w:rPr>
          <w:rFonts w:ascii="Times New Roman" w:hAnsi="Times New Roman"/>
          <w:sz w:val="24"/>
          <w:szCs w:val="24"/>
          <w:lang w:val="en-US"/>
        </w:rPr>
      </w:pPr>
      <w:r>
        <w:rPr>
          <w:rFonts w:ascii="Times New Roman" w:hAnsi="Times New Roman"/>
          <w:sz w:val="24"/>
          <w:szCs w:val="24"/>
          <w:lang w:val="en-US"/>
        </w:rPr>
        <w:t xml:space="preserve">The Executive Director thanked the Advisory Group for its various comments on the proposed Chapter 1 general provisions for the Revised Criminal Code.  He said that all the comments would be reflected in the next draft, although there was one comment regarding a change to the statutory language describing the rule of lenity that he thought </w:t>
      </w:r>
      <w:r w:rsidR="005B5734">
        <w:rPr>
          <w:rFonts w:ascii="Times New Roman" w:hAnsi="Times New Roman"/>
          <w:sz w:val="24"/>
          <w:szCs w:val="24"/>
          <w:lang w:val="en-US"/>
        </w:rPr>
        <w:t xml:space="preserve">might be a matter of disagreement and </w:t>
      </w:r>
      <w:r>
        <w:rPr>
          <w:rFonts w:ascii="Times New Roman" w:hAnsi="Times New Roman"/>
          <w:sz w:val="24"/>
          <w:szCs w:val="24"/>
          <w:lang w:val="en-US"/>
        </w:rPr>
        <w:t>merited discussion by the full group.</w:t>
      </w:r>
    </w:p>
    <w:p w14:paraId="5AAA928F" w14:textId="5C316405" w:rsidR="004223C5" w:rsidRDefault="001342CC" w:rsidP="007D1673">
      <w:pPr>
        <w:pStyle w:val="BodyText"/>
        <w:numPr>
          <w:ilvl w:val="1"/>
          <w:numId w:val="5"/>
        </w:numPr>
        <w:spacing w:after="0" w:line="276" w:lineRule="auto"/>
        <w:rPr>
          <w:rFonts w:ascii="Times New Roman" w:hAnsi="Times New Roman"/>
          <w:sz w:val="24"/>
          <w:szCs w:val="24"/>
          <w:lang w:val="en-US"/>
        </w:rPr>
      </w:pPr>
      <w:r>
        <w:rPr>
          <w:rFonts w:ascii="Times New Roman" w:hAnsi="Times New Roman"/>
          <w:sz w:val="24"/>
          <w:szCs w:val="24"/>
          <w:lang w:val="en-US"/>
        </w:rPr>
        <w:t xml:space="preserve">The </w:t>
      </w:r>
      <w:r w:rsidR="004434BC" w:rsidRPr="004434BC">
        <w:rPr>
          <w:rFonts w:ascii="Times New Roman" w:hAnsi="Times New Roman"/>
          <w:sz w:val="24"/>
          <w:szCs w:val="24"/>
          <w:lang w:val="en-US"/>
        </w:rPr>
        <w:t>USAO</w:t>
      </w:r>
      <w:r w:rsidR="007D1673">
        <w:rPr>
          <w:rFonts w:ascii="Times New Roman" w:hAnsi="Times New Roman"/>
          <w:sz w:val="24"/>
          <w:szCs w:val="24"/>
          <w:lang w:val="en-US"/>
        </w:rPr>
        <w:t xml:space="preserve"> had</w:t>
      </w:r>
      <w:r w:rsidR="004434BC" w:rsidRPr="004434BC">
        <w:rPr>
          <w:rFonts w:ascii="Times New Roman" w:hAnsi="Times New Roman"/>
          <w:sz w:val="24"/>
          <w:szCs w:val="24"/>
          <w:lang w:val="en-US"/>
        </w:rPr>
        <w:t xml:space="preserve"> proposed alternate language for</w:t>
      </w:r>
      <w:r w:rsidR="007D1673">
        <w:rPr>
          <w:rFonts w:ascii="Times New Roman" w:hAnsi="Times New Roman"/>
          <w:sz w:val="24"/>
          <w:szCs w:val="24"/>
          <w:lang w:val="en-US"/>
        </w:rPr>
        <w:t xml:space="preserve"> codifying the rule of lenity that would replace the </w:t>
      </w:r>
      <w:r w:rsidR="004434BC">
        <w:rPr>
          <w:rFonts w:ascii="Times New Roman" w:hAnsi="Times New Roman"/>
          <w:sz w:val="24"/>
          <w:szCs w:val="24"/>
          <w:lang w:val="en-US"/>
        </w:rPr>
        <w:t xml:space="preserve">words “two or more reasonable interpretations” </w:t>
      </w:r>
      <w:r w:rsidR="007D1673">
        <w:rPr>
          <w:rFonts w:ascii="Times New Roman" w:hAnsi="Times New Roman"/>
          <w:sz w:val="24"/>
          <w:szCs w:val="24"/>
          <w:lang w:val="en-US"/>
        </w:rPr>
        <w:t>with “meaning” in</w:t>
      </w:r>
      <w:r w:rsidR="004434BC">
        <w:rPr>
          <w:rFonts w:ascii="Times New Roman" w:hAnsi="Times New Roman"/>
          <w:sz w:val="24"/>
          <w:szCs w:val="24"/>
          <w:lang w:val="en-US"/>
        </w:rPr>
        <w:t xml:space="preserve"> the proposed statute, and </w:t>
      </w:r>
      <w:r w:rsidR="007D1673">
        <w:rPr>
          <w:rFonts w:ascii="Times New Roman" w:hAnsi="Times New Roman"/>
          <w:sz w:val="24"/>
          <w:szCs w:val="24"/>
          <w:lang w:val="en-US"/>
        </w:rPr>
        <w:t>also</w:t>
      </w:r>
      <w:r w:rsidR="004434BC">
        <w:rPr>
          <w:rFonts w:ascii="Times New Roman" w:hAnsi="Times New Roman"/>
          <w:sz w:val="24"/>
          <w:szCs w:val="24"/>
          <w:lang w:val="en-US"/>
        </w:rPr>
        <w:t xml:space="preserve"> add the words “genuinely in doubt.”  The Executive Director noted that both </w:t>
      </w:r>
      <w:r w:rsidR="007D1673">
        <w:rPr>
          <w:rFonts w:ascii="Times New Roman" w:hAnsi="Times New Roman"/>
          <w:sz w:val="24"/>
          <w:szCs w:val="24"/>
          <w:lang w:val="en-US"/>
        </w:rPr>
        <w:t>the CCRC</w:t>
      </w:r>
      <w:r w:rsidR="004434BC">
        <w:rPr>
          <w:rFonts w:ascii="Times New Roman" w:hAnsi="Times New Roman"/>
          <w:sz w:val="24"/>
          <w:szCs w:val="24"/>
          <w:lang w:val="en-US"/>
        </w:rPr>
        <w:t xml:space="preserve"> </w:t>
      </w:r>
      <w:r w:rsidR="007D1673">
        <w:rPr>
          <w:rFonts w:ascii="Times New Roman" w:hAnsi="Times New Roman"/>
          <w:sz w:val="24"/>
          <w:szCs w:val="24"/>
          <w:lang w:val="en-US"/>
        </w:rPr>
        <w:t>proposed language</w:t>
      </w:r>
      <w:r w:rsidR="004434BC">
        <w:rPr>
          <w:rFonts w:ascii="Times New Roman" w:hAnsi="Times New Roman"/>
          <w:sz w:val="24"/>
          <w:szCs w:val="24"/>
          <w:lang w:val="en-US"/>
        </w:rPr>
        <w:t xml:space="preserve"> and the USAO </w:t>
      </w:r>
      <w:r w:rsidR="007D1673">
        <w:rPr>
          <w:rFonts w:ascii="Times New Roman" w:hAnsi="Times New Roman"/>
          <w:sz w:val="24"/>
          <w:szCs w:val="24"/>
          <w:lang w:val="en-US"/>
        </w:rPr>
        <w:t>comment’s proposed language</w:t>
      </w:r>
      <w:r w:rsidR="004434BC">
        <w:rPr>
          <w:rFonts w:ascii="Times New Roman" w:hAnsi="Times New Roman"/>
          <w:sz w:val="24"/>
          <w:szCs w:val="24"/>
          <w:lang w:val="en-US"/>
        </w:rPr>
        <w:t xml:space="preserve"> are taken from current Dist</w:t>
      </w:r>
      <w:r w:rsidR="007D1673">
        <w:rPr>
          <w:rFonts w:ascii="Times New Roman" w:hAnsi="Times New Roman"/>
          <w:sz w:val="24"/>
          <w:szCs w:val="24"/>
          <w:lang w:val="en-US"/>
        </w:rPr>
        <w:t>rict case law</w:t>
      </w:r>
      <w:r w:rsidR="00C01DA6">
        <w:rPr>
          <w:rFonts w:ascii="Times New Roman" w:hAnsi="Times New Roman"/>
          <w:sz w:val="24"/>
          <w:szCs w:val="24"/>
          <w:lang w:val="en-US"/>
        </w:rPr>
        <w:t>, and that the CCRC had cited in the Commentary the language now proposed by USAO for the statute</w:t>
      </w:r>
      <w:r w:rsidR="007D1673">
        <w:rPr>
          <w:rFonts w:ascii="Times New Roman" w:hAnsi="Times New Roman"/>
          <w:sz w:val="24"/>
          <w:szCs w:val="24"/>
          <w:lang w:val="en-US"/>
        </w:rPr>
        <w:t>.  He noted that s</w:t>
      </w:r>
      <w:r w:rsidR="004434BC">
        <w:rPr>
          <w:rFonts w:ascii="Times New Roman" w:hAnsi="Times New Roman"/>
          <w:sz w:val="24"/>
          <w:szCs w:val="24"/>
          <w:lang w:val="en-US"/>
        </w:rPr>
        <w:t>taff’s intent was not to change current law with</w:t>
      </w:r>
      <w:r w:rsidR="007D1673">
        <w:rPr>
          <w:rFonts w:ascii="Times New Roman" w:hAnsi="Times New Roman"/>
          <w:sz w:val="24"/>
          <w:szCs w:val="24"/>
          <w:lang w:val="en-US"/>
        </w:rPr>
        <w:t xml:space="preserve"> respect to the rule of lenity, and asked the Advisory Group for further input on the drafting options.</w:t>
      </w:r>
      <w:r w:rsidR="004434BC">
        <w:rPr>
          <w:rFonts w:ascii="Times New Roman" w:hAnsi="Times New Roman"/>
          <w:sz w:val="24"/>
          <w:szCs w:val="24"/>
          <w:lang w:val="en-US"/>
        </w:rPr>
        <w:t xml:space="preserve"> </w:t>
      </w:r>
    </w:p>
    <w:p w14:paraId="6BF93F40" w14:textId="09764777" w:rsidR="004434BC" w:rsidRDefault="004434BC" w:rsidP="007D1673">
      <w:pPr>
        <w:pStyle w:val="BodyText"/>
        <w:numPr>
          <w:ilvl w:val="1"/>
          <w:numId w:val="5"/>
        </w:numPr>
        <w:spacing w:after="0" w:line="276" w:lineRule="auto"/>
        <w:rPr>
          <w:rFonts w:ascii="Times New Roman" w:hAnsi="Times New Roman"/>
          <w:sz w:val="24"/>
          <w:szCs w:val="24"/>
          <w:lang w:val="en-US"/>
        </w:rPr>
      </w:pPr>
      <w:r>
        <w:rPr>
          <w:rFonts w:ascii="Times New Roman" w:hAnsi="Times New Roman"/>
          <w:sz w:val="24"/>
          <w:szCs w:val="24"/>
          <w:lang w:val="en-US"/>
        </w:rPr>
        <w:t xml:space="preserve">PDS </w:t>
      </w:r>
      <w:r w:rsidR="007D1673">
        <w:rPr>
          <w:rFonts w:ascii="Times New Roman" w:hAnsi="Times New Roman"/>
          <w:sz w:val="24"/>
          <w:szCs w:val="24"/>
          <w:lang w:val="en-US"/>
        </w:rPr>
        <w:t xml:space="preserve">said that it </w:t>
      </w:r>
      <w:r>
        <w:rPr>
          <w:rFonts w:ascii="Times New Roman" w:hAnsi="Times New Roman"/>
          <w:sz w:val="24"/>
          <w:szCs w:val="24"/>
          <w:lang w:val="en-US"/>
        </w:rPr>
        <w:t xml:space="preserve">preferred the original </w:t>
      </w:r>
      <w:r w:rsidR="007D1673">
        <w:rPr>
          <w:rFonts w:ascii="Times New Roman" w:hAnsi="Times New Roman"/>
          <w:sz w:val="24"/>
          <w:szCs w:val="24"/>
          <w:lang w:val="en-US"/>
        </w:rPr>
        <w:t>CCRC</w:t>
      </w:r>
      <w:r>
        <w:rPr>
          <w:rFonts w:ascii="Times New Roman" w:hAnsi="Times New Roman"/>
          <w:sz w:val="24"/>
          <w:szCs w:val="24"/>
          <w:lang w:val="en-US"/>
        </w:rPr>
        <w:t xml:space="preserve"> language.  </w:t>
      </w:r>
      <w:r w:rsidR="00C01DA6">
        <w:rPr>
          <w:rFonts w:ascii="Times New Roman" w:hAnsi="Times New Roman"/>
          <w:sz w:val="24"/>
          <w:szCs w:val="24"/>
          <w:lang w:val="en-US"/>
        </w:rPr>
        <w:t>OAG said that it preferred the USAO language.  The USAO added that it believed its proposed language captured the more recent trend in DCCA opinions.</w:t>
      </w:r>
    </w:p>
    <w:p w14:paraId="7651099F" w14:textId="23F1153F" w:rsidR="00C01DA6" w:rsidRDefault="008A5615" w:rsidP="007D1673">
      <w:pPr>
        <w:pStyle w:val="BodyText"/>
        <w:numPr>
          <w:ilvl w:val="1"/>
          <w:numId w:val="5"/>
        </w:numPr>
        <w:spacing w:after="0" w:line="276" w:lineRule="auto"/>
        <w:rPr>
          <w:rFonts w:ascii="Times New Roman" w:hAnsi="Times New Roman"/>
          <w:sz w:val="24"/>
          <w:szCs w:val="24"/>
          <w:lang w:val="en-US"/>
        </w:rPr>
      </w:pPr>
      <w:r>
        <w:rPr>
          <w:rFonts w:ascii="Times New Roman" w:hAnsi="Times New Roman"/>
          <w:sz w:val="24"/>
          <w:szCs w:val="24"/>
          <w:lang w:val="en-US"/>
        </w:rPr>
        <w:t xml:space="preserve">The </w:t>
      </w:r>
      <w:r w:rsidR="00C01DA6">
        <w:rPr>
          <w:rFonts w:ascii="Times New Roman" w:hAnsi="Times New Roman"/>
          <w:sz w:val="24"/>
          <w:szCs w:val="24"/>
          <w:lang w:val="en-US"/>
        </w:rPr>
        <w:t>Executive Director</w:t>
      </w:r>
      <w:r>
        <w:rPr>
          <w:rFonts w:ascii="Times New Roman" w:hAnsi="Times New Roman"/>
          <w:sz w:val="24"/>
          <w:szCs w:val="24"/>
          <w:lang w:val="en-US"/>
        </w:rPr>
        <w:t xml:space="preserve"> </w:t>
      </w:r>
      <w:r w:rsidR="00C01DA6">
        <w:rPr>
          <w:rFonts w:ascii="Times New Roman" w:hAnsi="Times New Roman"/>
          <w:sz w:val="24"/>
          <w:szCs w:val="24"/>
          <w:lang w:val="en-US"/>
        </w:rPr>
        <w:t xml:space="preserve">noted that some DCCA opinions cite both the CCRC and USAO articulations of the rule of lenity in an apparent attempt to clarify that </w:t>
      </w:r>
      <w:r>
        <w:rPr>
          <w:rFonts w:ascii="Times New Roman" w:hAnsi="Times New Roman"/>
          <w:sz w:val="24"/>
          <w:szCs w:val="24"/>
          <w:lang w:val="en-US"/>
        </w:rPr>
        <w:t xml:space="preserve">the rule of lenity requires not </w:t>
      </w:r>
      <w:r w:rsidR="001342CC">
        <w:rPr>
          <w:rFonts w:ascii="Times New Roman" w:hAnsi="Times New Roman"/>
          <w:sz w:val="24"/>
          <w:szCs w:val="24"/>
          <w:lang w:val="en-US"/>
        </w:rPr>
        <w:t>only</w:t>
      </w:r>
      <w:r>
        <w:rPr>
          <w:rFonts w:ascii="Times New Roman" w:hAnsi="Times New Roman"/>
          <w:sz w:val="24"/>
          <w:szCs w:val="24"/>
          <w:lang w:val="en-US"/>
        </w:rPr>
        <w:t xml:space="preserve"> that there </w:t>
      </w:r>
      <w:r w:rsidR="00C01DA6">
        <w:rPr>
          <w:rFonts w:ascii="Times New Roman" w:hAnsi="Times New Roman"/>
          <w:sz w:val="24"/>
          <w:szCs w:val="24"/>
          <w:lang w:val="en-US"/>
        </w:rPr>
        <w:t>be</w:t>
      </w:r>
      <w:r>
        <w:rPr>
          <w:rFonts w:ascii="Times New Roman" w:hAnsi="Times New Roman"/>
          <w:sz w:val="24"/>
          <w:szCs w:val="24"/>
          <w:lang w:val="en-US"/>
        </w:rPr>
        <w:t xml:space="preserve"> more than one </w:t>
      </w:r>
      <w:r w:rsidR="00C01DA6">
        <w:rPr>
          <w:rFonts w:ascii="Times New Roman" w:hAnsi="Times New Roman"/>
          <w:sz w:val="24"/>
          <w:szCs w:val="24"/>
          <w:lang w:val="en-US"/>
        </w:rPr>
        <w:t>conceivable</w:t>
      </w:r>
      <w:r>
        <w:rPr>
          <w:rFonts w:ascii="Times New Roman" w:hAnsi="Times New Roman"/>
          <w:sz w:val="24"/>
          <w:szCs w:val="24"/>
          <w:lang w:val="en-US"/>
        </w:rPr>
        <w:t xml:space="preserve"> interpretation, but that </w:t>
      </w:r>
      <w:r w:rsidR="005B2585">
        <w:rPr>
          <w:rFonts w:ascii="Times New Roman" w:hAnsi="Times New Roman"/>
          <w:sz w:val="24"/>
          <w:szCs w:val="24"/>
          <w:lang w:val="en-US"/>
        </w:rPr>
        <w:t>there must be at least two interpretations meriting significant attention</w:t>
      </w:r>
      <w:r>
        <w:rPr>
          <w:rFonts w:ascii="Times New Roman" w:hAnsi="Times New Roman"/>
          <w:sz w:val="24"/>
          <w:szCs w:val="24"/>
          <w:lang w:val="en-US"/>
        </w:rPr>
        <w:t>.</w:t>
      </w:r>
      <w:r w:rsidR="005B2585">
        <w:rPr>
          <w:rFonts w:ascii="Times New Roman" w:hAnsi="Times New Roman"/>
          <w:sz w:val="24"/>
          <w:szCs w:val="24"/>
          <w:lang w:val="en-US"/>
        </w:rPr>
        <w:t xml:space="preserve">  He asked if there might be a way to address both points in the RCC.</w:t>
      </w:r>
    </w:p>
    <w:p w14:paraId="787B0EBB" w14:textId="75897FD9" w:rsidR="005B2585" w:rsidRDefault="005B2585" w:rsidP="007D1673">
      <w:pPr>
        <w:pStyle w:val="BodyText"/>
        <w:numPr>
          <w:ilvl w:val="1"/>
          <w:numId w:val="5"/>
        </w:numPr>
        <w:spacing w:after="0" w:line="276" w:lineRule="auto"/>
        <w:rPr>
          <w:rFonts w:ascii="Times New Roman" w:hAnsi="Times New Roman"/>
          <w:sz w:val="24"/>
          <w:szCs w:val="24"/>
          <w:lang w:val="en-US"/>
        </w:rPr>
      </w:pPr>
      <w:r>
        <w:rPr>
          <w:rFonts w:ascii="Times New Roman" w:hAnsi="Times New Roman"/>
          <w:sz w:val="24"/>
          <w:szCs w:val="24"/>
          <w:lang w:val="en-US"/>
        </w:rPr>
        <w:t xml:space="preserve">PDS noted that the “genuinely in doubt” language seemed to miss the mark insofar as it sounds as if the issue is one of sincerity in recognizing an alternative interpretation. </w:t>
      </w:r>
    </w:p>
    <w:p w14:paraId="2377DBDC" w14:textId="5E82D4FA" w:rsidR="008A5615" w:rsidRDefault="00C01DA6" w:rsidP="007D1673">
      <w:pPr>
        <w:pStyle w:val="BodyText"/>
        <w:numPr>
          <w:ilvl w:val="1"/>
          <w:numId w:val="5"/>
        </w:numPr>
        <w:spacing w:after="0" w:line="276" w:lineRule="auto"/>
        <w:rPr>
          <w:rFonts w:ascii="Times New Roman" w:hAnsi="Times New Roman"/>
          <w:sz w:val="24"/>
          <w:szCs w:val="24"/>
          <w:lang w:val="en-US"/>
        </w:rPr>
      </w:pPr>
      <w:r>
        <w:rPr>
          <w:rFonts w:ascii="Times New Roman" w:hAnsi="Times New Roman"/>
          <w:sz w:val="24"/>
          <w:szCs w:val="24"/>
          <w:lang w:val="en-US"/>
        </w:rPr>
        <w:t>The Executive Director thanked the Advisory Group and said it would further research the matter before issuing the next draft.</w:t>
      </w:r>
      <w:r w:rsidR="008A5615">
        <w:rPr>
          <w:rFonts w:ascii="Times New Roman" w:hAnsi="Times New Roman"/>
          <w:sz w:val="24"/>
          <w:szCs w:val="24"/>
          <w:lang w:val="en-US"/>
        </w:rPr>
        <w:t xml:space="preserve">  </w:t>
      </w:r>
    </w:p>
    <w:p w14:paraId="10575E30" w14:textId="77777777" w:rsidR="001342CC" w:rsidRDefault="001342CC" w:rsidP="007D1673">
      <w:pPr>
        <w:pStyle w:val="BodyText"/>
        <w:spacing w:after="0" w:line="276" w:lineRule="auto"/>
        <w:ind w:left="1440"/>
        <w:rPr>
          <w:rFonts w:ascii="Times New Roman" w:hAnsi="Times New Roman"/>
          <w:sz w:val="24"/>
          <w:szCs w:val="24"/>
          <w:lang w:val="en-US"/>
        </w:rPr>
      </w:pPr>
    </w:p>
    <w:p w14:paraId="1AFAC24E" w14:textId="2487D02E" w:rsidR="008A5615" w:rsidRDefault="008A5615" w:rsidP="007D1673">
      <w:pPr>
        <w:pStyle w:val="BodyText"/>
        <w:numPr>
          <w:ilvl w:val="0"/>
          <w:numId w:val="5"/>
        </w:numPr>
        <w:spacing w:after="0" w:line="276" w:lineRule="auto"/>
        <w:rPr>
          <w:rFonts w:ascii="Times New Roman" w:hAnsi="Times New Roman"/>
          <w:b/>
          <w:sz w:val="24"/>
          <w:szCs w:val="24"/>
          <w:lang w:val="en-US"/>
        </w:rPr>
      </w:pPr>
      <w:r w:rsidRPr="008A5615">
        <w:rPr>
          <w:rFonts w:ascii="Times New Roman" w:hAnsi="Times New Roman"/>
          <w:b/>
          <w:sz w:val="24"/>
          <w:szCs w:val="24"/>
          <w:lang w:val="en-US"/>
        </w:rPr>
        <w:lastRenderedPageBreak/>
        <w:t xml:space="preserve">Discussion of Legal Effect of Headings and Captions.  </w:t>
      </w:r>
    </w:p>
    <w:p w14:paraId="094A2B7D" w14:textId="5224056F" w:rsidR="008A5615" w:rsidRPr="008A5615" w:rsidRDefault="0009369B" w:rsidP="007D1673">
      <w:pPr>
        <w:pStyle w:val="BodyText"/>
        <w:numPr>
          <w:ilvl w:val="1"/>
          <w:numId w:val="5"/>
        </w:numPr>
        <w:spacing w:after="0" w:line="276" w:lineRule="auto"/>
        <w:rPr>
          <w:rFonts w:ascii="Times New Roman" w:hAnsi="Times New Roman"/>
          <w:sz w:val="24"/>
          <w:szCs w:val="24"/>
          <w:lang w:val="en-US"/>
        </w:rPr>
      </w:pPr>
      <w:r>
        <w:rPr>
          <w:rFonts w:ascii="Times New Roman" w:hAnsi="Times New Roman"/>
          <w:sz w:val="24"/>
          <w:szCs w:val="24"/>
          <w:lang w:val="en-US"/>
        </w:rPr>
        <w:t>The Executive Director noted USAO</w:t>
      </w:r>
      <w:r w:rsidR="008A5615" w:rsidRPr="008A5615">
        <w:rPr>
          <w:rFonts w:ascii="Times New Roman" w:hAnsi="Times New Roman"/>
          <w:sz w:val="24"/>
          <w:szCs w:val="24"/>
          <w:lang w:val="en-US"/>
        </w:rPr>
        <w:t xml:space="preserve"> had suggested adding the words “otherwise ambiguous” to the </w:t>
      </w:r>
      <w:r>
        <w:rPr>
          <w:rFonts w:ascii="Times New Roman" w:hAnsi="Times New Roman"/>
          <w:sz w:val="24"/>
          <w:szCs w:val="24"/>
          <w:lang w:val="en-US"/>
        </w:rPr>
        <w:t xml:space="preserve">draft </w:t>
      </w:r>
      <w:r w:rsidR="008A5615" w:rsidRPr="008A5615">
        <w:rPr>
          <w:rFonts w:ascii="Times New Roman" w:hAnsi="Times New Roman"/>
          <w:sz w:val="24"/>
          <w:szCs w:val="24"/>
          <w:lang w:val="en-US"/>
        </w:rPr>
        <w:t>provision on the effect of headings and captions.</w:t>
      </w:r>
      <w:r>
        <w:rPr>
          <w:rFonts w:ascii="Times New Roman" w:hAnsi="Times New Roman"/>
          <w:sz w:val="24"/>
          <w:szCs w:val="24"/>
          <w:lang w:val="en-US"/>
        </w:rPr>
        <w:t xml:space="preserve">  He said t</w:t>
      </w:r>
      <w:r w:rsidR="008A5615">
        <w:rPr>
          <w:rFonts w:ascii="Times New Roman" w:hAnsi="Times New Roman"/>
          <w:sz w:val="24"/>
          <w:szCs w:val="24"/>
          <w:lang w:val="en-US"/>
        </w:rPr>
        <w:t>his language could limit reliance on headings and captions in cases when the statutes are otherwise clear</w:t>
      </w:r>
      <w:r>
        <w:rPr>
          <w:rFonts w:ascii="Times New Roman" w:hAnsi="Times New Roman"/>
          <w:sz w:val="24"/>
          <w:szCs w:val="24"/>
          <w:lang w:val="en-US"/>
        </w:rPr>
        <w:t>, but that this was supported by at least one case</w:t>
      </w:r>
      <w:r w:rsidR="008A5615">
        <w:rPr>
          <w:rFonts w:ascii="Times New Roman" w:hAnsi="Times New Roman"/>
          <w:sz w:val="24"/>
          <w:szCs w:val="24"/>
          <w:lang w:val="en-US"/>
        </w:rPr>
        <w:t>.</w:t>
      </w:r>
      <w:r>
        <w:rPr>
          <w:rFonts w:ascii="Times New Roman" w:hAnsi="Times New Roman"/>
          <w:sz w:val="24"/>
          <w:szCs w:val="24"/>
          <w:lang w:val="en-US"/>
        </w:rPr>
        <w:t xml:space="preserve">  He said he thought the USAO recommendation was helpful and should be adopted in the next draft.</w:t>
      </w:r>
      <w:r w:rsidR="008A5615">
        <w:rPr>
          <w:rFonts w:ascii="Times New Roman" w:hAnsi="Times New Roman"/>
          <w:sz w:val="24"/>
          <w:szCs w:val="24"/>
          <w:lang w:val="en-US"/>
        </w:rPr>
        <w:t xml:space="preserve">  </w:t>
      </w:r>
    </w:p>
    <w:p w14:paraId="7E84B557" w14:textId="77777777" w:rsidR="004434BC" w:rsidRPr="004434BC" w:rsidRDefault="004434BC" w:rsidP="004434BC">
      <w:pPr>
        <w:pStyle w:val="BodyText"/>
        <w:spacing w:after="0" w:line="240" w:lineRule="auto"/>
        <w:ind w:left="1440"/>
        <w:rPr>
          <w:rFonts w:ascii="Times New Roman" w:hAnsi="Times New Roman"/>
          <w:sz w:val="24"/>
          <w:szCs w:val="24"/>
          <w:lang w:val="en-US"/>
        </w:rPr>
      </w:pPr>
    </w:p>
    <w:p w14:paraId="4302561B" w14:textId="77777777" w:rsidR="0074666F" w:rsidRPr="0074666F" w:rsidRDefault="0074666F" w:rsidP="0074666F">
      <w:pPr>
        <w:pStyle w:val="ListParagraph"/>
        <w:numPr>
          <w:ilvl w:val="0"/>
          <w:numId w:val="5"/>
        </w:numPr>
        <w:jc w:val="both"/>
        <w:rPr>
          <w:b/>
        </w:rPr>
      </w:pPr>
      <w:r w:rsidRPr="0074666F">
        <w:rPr>
          <w:b/>
        </w:rPr>
        <w:t>Adjournment.</w:t>
      </w:r>
    </w:p>
    <w:p w14:paraId="4BAE24FF" w14:textId="3A2FE587" w:rsidR="0074666F" w:rsidRDefault="00306105" w:rsidP="0074666F">
      <w:pPr>
        <w:pStyle w:val="ListParagraph"/>
        <w:numPr>
          <w:ilvl w:val="0"/>
          <w:numId w:val="9"/>
        </w:numPr>
        <w:jc w:val="both"/>
      </w:pPr>
      <w:r>
        <w:t>The meeting was adjourned at</w:t>
      </w:r>
      <w:r w:rsidR="0042257D">
        <w:t xml:space="preserve"> </w:t>
      </w:r>
      <w:r w:rsidR="008A5615">
        <w:t xml:space="preserve">4:05 </w:t>
      </w:r>
      <w:r w:rsidR="0074666F">
        <w:t>pm.  Audio recording of the meeting will be made available online for the public.</w:t>
      </w:r>
    </w:p>
    <w:p w14:paraId="4E89942C" w14:textId="497824AD" w:rsidR="0042257D" w:rsidRPr="00522F20" w:rsidRDefault="0042257D" w:rsidP="00306105">
      <w:pPr>
        <w:ind w:left="360"/>
        <w:jc w:val="both"/>
      </w:pPr>
    </w:p>
    <w:sectPr w:rsidR="0042257D" w:rsidRPr="00522F2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F4DAD" w14:textId="77777777" w:rsidR="00A12409" w:rsidRDefault="00A12409" w:rsidP="006A1FF4">
      <w:pPr>
        <w:spacing w:line="240" w:lineRule="auto"/>
      </w:pPr>
      <w:r>
        <w:separator/>
      </w:r>
    </w:p>
  </w:endnote>
  <w:endnote w:type="continuationSeparator" w:id="0">
    <w:p w14:paraId="4FEEF931" w14:textId="77777777" w:rsidR="00A12409" w:rsidRDefault="00A12409" w:rsidP="006A1F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633272"/>
      <w:docPartObj>
        <w:docPartGallery w:val="Page Numbers (Bottom of Page)"/>
        <w:docPartUnique/>
      </w:docPartObj>
    </w:sdtPr>
    <w:sdtEndPr>
      <w:rPr>
        <w:noProof/>
      </w:rPr>
    </w:sdtEndPr>
    <w:sdtContent>
      <w:p w14:paraId="0AE08227" w14:textId="77777777" w:rsidR="00E17F38" w:rsidRDefault="00E17F38">
        <w:pPr>
          <w:pStyle w:val="Footer"/>
          <w:jc w:val="center"/>
        </w:pPr>
        <w:r>
          <w:fldChar w:fldCharType="begin"/>
        </w:r>
        <w:r>
          <w:instrText xml:space="preserve"> PAGE   \* MERGEFORMAT </w:instrText>
        </w:r>
        <w:r>
          <w:fldChar w:fldCharType="separate"/>
        </w:r>
        <w:r w:rsidR="009C4D08">
          <w:rPr>
            <w:noProof/>
          </w:rPr>
          <w:t>1</w:t>
        </w:r>
        <w:r>
          <w:rPr>
            <w:noProof/>
          </w:rPr>
          <w:fldChar w:fldCharType="end"/>
        </w:r>
      </w:p>
    </w:sdtContent>
  </w:sdt>
  <w:p w14:paraId="61EDC617" w14:textId="77777777" w:rsidR="00E17F38" w:rsidRDefault="00E17F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EFA4F" w14:textId="77777777" w:rsidR="00A12409" w:rsidRDefault="00A12409" w:rsidP="006A1FF4">
      <w:pPr>
        <w:spacing w:line="240" w:lineRule="auto"/>
      </w:pPr>
      <w:r>
        <w:separator/>
      </w:r>
    </w:p>
  </w:footnote>
  <w:footnote w:type="continuationSeparator" w:id="0">
    <w:p w14:paraId="121BE966" w14:textId="77777777" w:rsidR="00A12409" w:rsidRDefault="00A12409" w:rsidP="006A1F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55EC0"/>
    <w:multiLevelType w:val="hybridMultilevel"/>
    <w:tmpl w:val="7D3284F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8E26B4"/>
    <w:multiLevelType w:val="hybridMultilevel"/>
    <w:tmpl w:val="0358BD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610629"/>
    <w:multiLevelType w:val="hybridMultilevel"/>
    <w:tmpl w:val="201064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FD3F19"/>
    <w:multiLevelType w:val="hybridMultilevel"/>
    <w:tmpl w:val="387407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29664A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737145"/>
    <w:multiLevelType w:val="hybridMultilevel"/>
    <w:tmpl w:val="65DC41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C858DA"/>
    <w:multiLevelType w:val="hybridMultilevel"/>
    <w:tmpl w:val="9AFC46AA"/>
    <w:lvl w:ilvl="0" w:tplc="04090013">
      <w:start w:val="1"/>
      <w:numFmt w:val="upperRoman"/>
      <w:lvlText w:val="%1."/>
      <w:lvlJc w:val="right"/>
      <w:pPr>
        <w:ind w:left="720" w:hanging="360"/>
      </w:pPr>
    </w:lvl>
    <w:lvl w:ilvl="1" w:tplc="36769CF8">
      <w:start w:val="1"/>
      <w:numFmt w:val="lowerLetter"/>
      <w:lvlText w:val="%2."/>
      <w:lvlJc w:val="left"/>
      <w:pPr>
        <w:ind w:left="1440" w:hanging="360"/>
      </w:pPr>
      <w:rPr>
        <w:b w:val="0"/>
      </w:rPr>
    </w:lvl>
    <w:lvl w:ilvl="2" w:tplc="F72C077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F572E9"/>
    <w:multiLevelType w:val="hybridMultilevel"/>
    <w:tmpl w:val="7E6EDBE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7C2A50"/>
    <w:multiLevelType w:val="hybridMultilevel"/>
    <w:tmpl w:val="E4948D3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E741CD8"/>
    <w:multiLevelType w:val="hybridMultilevel"/>
    <w:tmpl w:val="A23686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AA1BCE"/>
    <w:multiLevelType w:val="hybridMultilevel"/>
    <w:tmpl w:val="BDB41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2"/>
  </w:num>
  <w:num w:numId="5">
    <w:abstractNumId w:val="5"/>
  </w:num>
  <w:num w:numId="6">
    <w:abstractNumId w:val="3"/>
  </w:num>
  <w:num w:numId="7">
    <w:abstractNumId w:val="8"/>
  </w:num>
  <w:num w:numId="8">
    <w:abstractNumId w:val="6"/>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6E5"/>
    <w:rsid w:val="00012545"/>
    <w:rsid w:val="000272B3"/>
    <w:rsid w:val="00057F0D"/>
    <w:rsid w:val="00071ECE"/>
    <w:rsid w:val="0007449E"/>
    <w:rsid w:val="0008568A"/>
    <w:rsid w:val="0009369B"/>
    <w:rsid w:val="00114395"/>
    <w:rsid w:val="00127384"/>
    <w:rsid w:val="001342CC"/>
    <w:rsid w:val="0015429F"/>
    <w:rsid w:val="00165083"/>
    <w:rsid w:val="00187C17"/>
    <w:rsid w:val="001954FE"/>
    <w:rsid w:val="001B51FD"/>
    <w:rsid w:val="001D1175"/>
    <w:rsid w:val="00217640"/>
    <w:rsid w:val="00241014"/>
    <w:rsid w:val="00246FCD"/>
    <w:rsid w:val="00296BC4"/>
    <w:rsid w:val="002C40F7"/>
    <w:rsid w:val="002D793B"/>
    <w:rsid w:val="00301502"/>
    <w:rsid w:val="00306105"/>
    <w:rsid w:val="00312C03"/>
    <w:rsid w:val="003548F8"/>
    <w:rsid w:val="003560A8"/>
    <w:rsid w:val="003925DD"/>
    <w:rsid w:val="003D35F4"/>
    <w:rsid w:val="004223C5"/>
    <w:rsid w:val="0042257D"/>
    <w:rsid w:val="0042614E"/>
    <w:rsid w:val="004434BC"/>
    <w:rsid w:val="00443A6C"/>
    <w:rsid w:val="00480A7A"/>
    <w:rsid w:val="0049002B"/>
    <w:rsid w:val="00497D74"/>
    <w:rsid w:val="004A4536"/>
    <w:rsid w:val="004E0924"/>
    <w:rsid w:val="00513134"/>
    <w:rsid w:val="00522F20"/>
    <w:rsid w:val="005277DD"/>
    <w:rsid w:val="0053465F"/>
    <w:rsid w:val="005407AD"/>
    <w:rsid w:val="005743D8"/>
    <w:rsid w:val="00585C17"/>
    <w:rsid w:val="005A6FEE"/>
    <w:rsid w:val="005B2585"/>
    <w:rsid w:val="005B5734"/>
    <w:rsid w:val="005F2D45"/>
    <w:rsid w:val="00603C75"/>
    <w:rsid w:val="006856E5"/>
    <w:rsid w:val="006A1FF4"/>
    <w:rsid w:val="006A5F8A"/>
    <w:rsid w:val="006A730A"/>
    <w:rsid w:val="006B63BE"/>
    <w:rsid w:val="006F54B1"/>
    <w:rsid w:val="006F6FA9"/>
    <w:rsid w:val="007143D1"/>
    <w:rsid w:val="00726174"/>
    <w:rsid w:val="0074666F"/>
    <w:rsid w:val="007B74F8"/>
    <w:rsid w:val="007C15AE"/>
    <w:rsid w:val="007D1673"/>
    <w:rsid w:val="007E2886"/>
    <w:rsid w:val="00862B5A"/>
    <w:rsid w:val="00881C35"/>
    <w:rsid w:val="00885FA2"/>
    <w:rsid w:val="00890F16"/>
    <w:rsid w:val="00895E80"/>
    <w:rsid w:val="008A5615"/>
    <w:rsid w:val="008B2194"/>
    <w:rsid w:val="008E5249"/>
    <w:rsid w:val="00921E00"/>
    <w:rsid w:val="009223E7"/>
    <w:rsid w:val="00937D88"/>
    <w:rsid w:val="00944D7F"/>
    <w:rsid w:val="009518D4"/>
    <w:rsid w:val="0096027F"/>
    <w:rsid w:val="00977507"/>
    <w:rsid w:val="009B259B"/>
    <w:rsid w:val="009C4D08"/>
    <w:rsid w:val="009D5430"/>
    <w:rsid w:val="009D5D82"/>
    <w:rsid w:val="009E0BCD"/>
    <w:rsid w:val="00A0797E"/>
    <w:rsid w:val="00A12409"/>
    <w:rsid w:val="00A21502"/>
    <w:rsid w:val="00A43D37"/>
    <w:rsid w:val="00A56242"/>
    <w:rsid w:val="00A662AF"/>
    <w:rsid w:val="00AB4BA7"/>
    <w:rsid w:val="00AB7148"/>
    <w:rsid w:val="00B1778D"/>
    <w:rsid w:val="00B20353"/>
    <w:rsid w:val="00B6092D"/>
    <w:rsid w:val="00B66528"/>
    <w:rsid w:val="00B867F3"/>
    <w:rsid w:val="00B961A2"/>
    <w:rsid w:val="00BB1156"/>
    <w:rsid w:val="00BD1B7A"/>
    <w:rsid w:val="00BE129E"/>
    <w:rsid w:val="00BE4523"/>
    <w:rsid w:val="00BF3DD1"/>
    <w:rsid w:val="00BF599F"/>
    <w:rsid w:val="00C01DA6"/>
    <w:rsid w:val="00C05266"/>
    <w:rsid w:val="00C13AA9"/>
    <w:rsid w:val="00C34421"/>
    <w:rsid w:val="00C50CDA"/>
    <w:rsid w:val="00C77149"/>
    <w:rsid w:val="00C84731"/>
    <w:rsid w:val="00C92849"/>
    <w:rsid w:val="00CA6406"/>
    <w:rsid w:val="00CE0E28"/>
    <w:rsid w:val="00CF4CAB"/>
    <w:rsid w:val="00D25377"/>
    <w:rsid w:val="00D377DD"/>
    <w:rsid w:val="00D44A4F"/>
    <w:rsid w:val="00D81CC8"/>
    <w:rsid w:val="00DC45CF"/>
    <w:rsid w:val="00DC4DB5"/>
    <w:rsid w:val="00DC5303"/>
    <w:rsid w:val="00DF05D7"/>
    <w:rsid w:val="00E17F38"/>
    <w:rsid w:val="00EA01DC"/>
    <w:rsid w:val="00EC4D62"/>
    <w:rsid w:val="00ED2F47"/>
    <w:rsid w:val="00ED5068"/>
    <w:rsid w:val="00EE6BD6"/>
    <w:rsid w:val="00EF0AD6"/>
    <w:rsid w:val="00F10A45"/>
    <w:rsid w:val="00F17119"/>
    <w:rsid w:val="00F70DAF"/>
    <w:rsid w:val="00F75CC9"/>
    <w:rsid w:val="00F96C6B"/>
    <w:rsid w:val="00F979EA"/>
    <w:rsid w:val="00FA59AB"/>
    <w:rsid w:val="00FB5CA3"/>
    <w:rsid w:val="00FC2FBD"/>
    <w:rsid w:val="00FC63F1"/>
    <w:rsid w:val="00FD225A"/>
    <w:rsid w:val="00FF4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DF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5CC9"/>
    <w:pPr>
      <w:spacing w:after="0"/>
    </w:pPr>
    <w:rPr>
      <w:rFonts w:ascii="Times New Roman" w:eastAsia="Times New Roman" w:hAnsi="Times New Roman" w:cs="Times New Roman"/>
      <w:color w:val="21212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CC9"/>
    <w:rPr>
      <w:color w:val="0000FF" w:themeColor="hyperlink"/>
      <w:u w:val="single"/>
    </w:rPr>
  </w:style>
  <w:style w:type="paragraph" w:styleId="ListParagraph">
    <w:name w:val="List Paragraph"/>
    <w:basedOn w:val="Normal"/>
    <w:uiPriority w:val="34"/>
    <w:qFormat/>
    <w:rsid w:val="00522F20"/>
    <w:pPr>
      <w:ind w:left="720"/>
      <w:contextualSpacing/>
    </w:pPr>
  </w:style>
  <w:style w:type="paragraph" w:styleId="Header">
    <w:name w:val="header"/>
    <w:basedOn w:val="Normal"/>
    <w:link w:val="HeaderChar"/>
    <w:uiPriority w:val="99"/>
    <w:unhideWhenUsed/>
    <w:rsid w:val="006A1FF4"/>
    <w:pPr>
      <w:tabs>
        <w:tab w:val="center" w:pos="4680"/>
        <w:tab w:val="right" w:pos="9360"/>
      </w:tabs>
      <w:spacing w:line="240" w:lineRule="auto"/>
    </w:pPr>
  </w:style>
  <w:style w:type="character" w:customStyle="1" w:styleId="HeaderChar">
    <w:name w:val="Header Char"/>
    <w:basedOn w:val="DefaultParagraphFont"/>
    <w:link w:val="Header"/>
    <w:uiPriority w:val="99"/>
    <w:rsid w:val="006A1FF4"/>
    <w:rPr>
      <w:rFonts w:ascii="Times New Roman" w:eastAsia="Times New Roman" w:hAnsi="Times New Roman" w:cs="Times New Roman"/>
      <w:color w:val="212121"/>
      <w:sz w:val="24"/>
      <w:szCs w:val="24"/>
    </w:rPr>
  </w:style>
  <w:style w:type="paragraph" w:styleId="Footer">
    <w:name w:val="footer"/>
    <w:basedOn w:val="Normal"/>
    <w:link w:val="FooterChar"/>
    <w:uiPriority w:val="99"/>
    <w:unhideWhenUsed/>
    <w:rsid w:val="006A1FF4"/>
    <w:pPr>
      <w:tabs>
        <w:tab w:val="center" w:pos="4680"/>
        <w:tab w:val="right" w:pos="9360"/>
      </w:tabs>
      <w:spacing w:line="240" w:lineRule="auto"/>
    </w:pPr>
  </w:style>
  <w:style w:type="character" w:customStyle="1" w:styleId="FooterChar">
    <w:name w:val="Footer Char"/>
    <w:basedOn w:val="DefaultParagraphFont"/>
    <w:link w:val="Footer"/>
    <w:uiPriority w:val="99"/>
    <w:rsid w:val="006A1FF4"/>
    <w:rPr>
      <w:rFonts w:ascii="Times New Roman" w:eastAsia="Times New Roman" w:hAnsi="Times New Roman" w:cs="Times New Roman"/>
      <w:color w:val="212121"/>
      <w:sz w:val="24"/>
      <w:szCs w:val="24"/>
    </w:rPr>
  </w:style>
  <w:style w:type="paragraph" w:styleId="BalloonText">
    <w:name w:val="Balloon Text"/>
    <w:basedOn w:val="Normal"/>
    <w:link w:val="BalloonTextChar"/>
    <w:uiPriority w:val="99"/>
    <w:semiHidden/>
    <w:unhideWhenUsed/>
    <w:rsid w:val="009D5D8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5D82"/>
    <w:rPr>
      <w:rFonts w:ascii="Lucida Grande" w:eastAsia="Times New Roman" w:hAnsi="Lucida Grande" w:cs="Lucida Grande"/>
      <w:color w:val="212121"/>
      <w:sz w:val="18"/>
      <w:szCs w:val="18"/>
    </w:rPr>
  </w:style>
  <w:style w:type="paragraph" w:styleId="BodyText">
    <w:name w:val="Body Text"/>
    <w:basedOn w:val="Normal"/>
    <w:link w:val="BodyTextChar"/>
    <w:semiHidden/>
    <w:unhideWhenUsed/>
    <w:rsid w:val="004223C5"/>
    <w:pPr>
      <w:spacing w:after="220" w:line="180" w:lineRule="atLeast"/>
      <w:jc w:val="both"/>
    </w:pPr>
    <w:rPr>
      <w:rFonts w:ascii="Arial" w:hAnsi="Arial"/>
      <w:color w:val="auto"/>
      <w:spacing w:val="-5"/>
      <w:sz w:val="20"/>
      <w:szCs w:val="20"/>
      <w:lang w:val="x-none" w:eastAsia="x-none"/>
    </w:rPr>
  </w:style>
  <w:style w:type="character" w:customStyle="1" w:styleId="BodyTextChar">
    <w:name w:val="Body Text Char"/>
    <w:basedOn w:val="DefaultParagraphFont"/>
    <w:link w:val="BodyText"/>
    <w:semiHidden/>
    <w:rsid w:val="004223C5"/>
    <w:rPr>
      <w:rFonts w:ascii="Arial" w:eastAsia="Times New Roman" w:hAnsi="Arial" w:cs="Times New Roman"/>
      <w:spacing w:val="-5"/>
      <w:sz w:val="20"/>
      <w:szCs w:val="20"/>
      <w:lang w:val="x-none" w:eastAsia="x-none"/>
    </w:rPr>
  </w:style>
  <w:style w:type="character" w:styleId="FootnoteReference">
    <w:name w:val="footnote reference"/>
    <w:basedOn w:val="DefaultParagraphFont"/>
    <w:uiPriority w:val="99"/>
    <w:unhideWhenUsed/>
    <w:rsid w:val="005407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5CC9"/>
    <w:pPr>
      <w:spacing w:after="0"/>
    </w:pPr>
    <w:rPr>
      <w:rFonts w:ascii="Times New Roman" w:eastAsia="Times New Roman" w:hAnsi="Times New Roman" w:cs="Times New Roman"/>
      <w:color w:val="21212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CC9"/>
    <w:rPr>
      <w:color w:val="0000FF" w:themeColor="hyperlink"/>
      <w:u w:val="single"/>
    </w:rPr>
  </w:style>
  <w:style w:type="paragraph" w:styleId="ListParagraph">
    <w:name w:val="List Paragraph"/>
    <w:basedOn w:val="Normal"/>
    <w:uiPriority w:val="34"/>
    <w:qFormat/>
    <w:rsid w:val="00522F20"/>
    <w:pPr>
      <w:ind w:left="720"/>
      <w:contextualSpacing/>
    </w:pPr>
  </w:style>
  <w:style w:type="paragraph" w:styleId="Header">
    <w:name w:val="header"/>
    <w:basedOn w:val="Normal"/>
    <w:link w:val="HeaderChar"/>
    <w:uiPriority w:val="99"/>
    <w:unhideWhenUsed/>
    <w:rsid w:val="006A1FF4"/>
    <w:pPr>
      <w:tabs>
        <w:tab w:val="center" w:pos="4680"/>
        <w:tab w:val="right" w:pos="9360"/>
      </w:tabs>
      <w:spacing w:line="240" w:lineRule="auto"/>
    </w:pPr>
  </w:style>
  <w:style w:type="character" w:customStyle="1" w:styleId="HeaderChar">
    <w:name w:val="Header Char"/>
    <w:basedOn w:val="DefaultParagraphFont"/>
    <w:link w:val="Header"/>
    <w:uiPriority w:val="99"/>
    <w:rsid w:val="006A1FF4"/>
    <w:rPr>
      <w:rFonts w:ascii="Times New Roman" w:eastAsia="Times New Roman" w:hAnsi="Times New Roman" w:cs="Times New Roman"/>
      <w:color w:val="212121"/>
      <w:sz w:val="24"/>
      <w:szCs w:val="24"/>
    </w:rPr>
  </w:style>
  <w:style w:type="paragraph" w:styleId="Footer">
    <w:name w:val="footer"/>
    <w:basedOn w:val="Normal"/>
    <w:link w:val="FooterChar"/>
    <w:uiPriority w:val="99"/>
    <w:unhideWhenUsed/>
    <w:rsid w:val="006A1FF4"/>
    <w:pPr>
      <w:tabs>
        <w:tab w:val="center" w:pos="4680"/>
        <w:tab w:val="right" w:pos="9360"/>
      </w:tabs>
      <w:spacing w:line="240" w:lineRule="auto"/>
    </w:pPr>
  </w:style>
  <w:style w:type="character" w:customStyle="1" w:styleId="FooterChar">
    <w:name w:val="Footer Char"/>
    <w:basedOn w:val="DefaultParagraphFont"/>
    <w:link w:val="Footer"/>
    <w:uiPriority w:val="99"/>
    <w:rsid w:val="006A1FF4"/>
    <w:rPr>
      <w:rFonts w:ascii="Times New Roman" w:eastAsia="Times New Roman" w:hAnsi="Times New Roman" w:cs="Times New Roman"/>
      <w:color w:val="212121"/>
      <w:sz w:val="24"/>
      <w:szCs w:val="24"/>
    </w:rPr>
  </w:style>
  <w:style w:type="paragraph" w:styleId="BalloonText">
    <w:name w:val="Balloon Text"/>
    <w:basedOn w:val="Normal"/>
    <w:link w:val="BalloonTextChar"/>
    <w:uiPriority w:val="99"/>
    <w:semiHidden/>
    <w:unhideWhenUsed/>
    <w:rsid w:val="009D5D8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5D82"/>
    <w:rPr>
      <w:rFonts w:ascii="Lucida Grande" w:eastAsia="Times New Roman" w:hAnsi="Lucida Grande" w:cs="Lucida Grande"/>
      <w:color w:val="212121"/>
      <w:sz w:val="18"/>
      <w:szCs w:val="18"/>
    </w:rPr>
  </w:style>
  <w:style w:type="paragraph" w:styleId="BodyText">
    <w:name w:val="Body Text"/>
    <w:basedOn w:val="Normal"/>
    <w:link w:val="BodyTextChar"/>
    <w:semiHidden/>
    <w:unhideWhenUsed/>
    <w:rsid w:val="004223C5"/>
    <w:pPr>
      <w:spacing w:after="220" w:line="180" w:lineRule="atLeast"/>
      <w:jc w:val="both"/>
    </w:pPr>
    <w:rPr>
      <w:rFonts w:ascii="Arial" w:hAnsi="Arial"/>
      <w:color w:val="auto"/>
      <w:spacing w:val="-5"/>
      <w:sz w:val="20"/>
      <w:szCs w:val="20"/>
      <w:lang w:val="x-none" w:eastAsia="x-none"/>
    </w:rPr>
  </w:style>
  <w:style w:type="character" w:customStyle="1" w:styleId="BodyTextChar">
    <w:name w:val="Body Text Char"/>
    <w:basedOn w:val="DefaultParagraphFont"/>
    <w:link w:val="BodyText"/>
    <w:semiHidden/>
    <w:rsid w:val="004223C5"/>
    <w:rPr>
      <w:rFonts w:ascii="Arial" w:eastAsia="Times New Roman" w:hAnsi="Arial" w:cs="Times New Roman"/>
      <w:spacing w:val="-5"/>
      <w:sz w:val="20"/>
      <w:szCs w:val="20"/>
      <w:lang w:val="x-none" w:eastAsia="x-none"/>
    </w:rPr>
  </w:style>
  <w:style w:type="character" w:styleId="FootnoteReference">
    <w:name w:val="footnote reference"/>
    <w:basedOn w:val="DefaultParagraphFont"/>
    <w:uiPriority w:val="99"/>
    <w:unhideWhenUsed/>
    <w:rsid w:val="005407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5356">
      <w:bodyDiv w:val="1"/>
      <w:marLeft w:val="0"/>
      <w:marRight w:val="0"/>
      <w:marTop w:val="0"/>
      <w:marBottom w:val="0"/>
      <w:divBdr>
        <w:top w:val="none" w:sz="0" w:space="0" w:color="auto"/>
        <w:left w:val="none" w:sz="0" w:space="0" w:color="auto"/>
        <w:bottom w:val="none" w:sz="0" w:space="0" w:color="auto"/>
        <w:right w:val="none" w:sz="0" w:space="0" w:color="auto"/>
      </w:divBdr>
    </w:div>
    <w:div w:id="494076627">
      <w:bodyDiv w:val="1"/>
      <w:marLeft w:val="0"/>
      <w:marRight w:val="0"/>
      <w:marTop w:val="0"/>
      <w:marBottom w:val="0"/>
      <w:divBdr>
        <w:top w:val="none" w:sz="0" w:space="0" w:color="auto"/>
        <w:left w:val="none" w:sz="0" w:space="0" w:color="auto"/>
        <w:bottom w:val="none" w:sz="0" w:space="0" w:color="auto"/>
        <w:right w:val="none" w:sz="0" w:space="0" w:color="auto"/>
      </w:divBdr>
    </w:div>
    <w:div w:id="587352743">
      <w:bodyDiv w:val="1"/>
      <w:marLeft w:val="0"/>
      <w:marRight w:val="0"/>
      <w:marTop w:val="0"/>
      <w:marBottom w:val="0"/>
      <w:divBdr>
        <w:top w:val="none" w:sz="0" w:space="0" w:color="auto"/>
        <w:left w:val="none" w:sz="0" w:space="0" w:color="auto"/>
        <w:bottom w:val="none" w:sz="0" w:space="0" w:color="auto"/>
        <w:right w:val="none" w:sz="0" w:space="0" w:color="auto"/>
      </w:divBdr>
    </w:div>
    <w:div w:id="812866758">
      <w:bodyDiv w:val="1"/>
      <w:marLeft w:val="0"/>
      <w:marRight w:val="0"/>
      <w:marTop w:val="0"/>
      <w:marBottom w:val="0"/>
      <w:divBdr>
        <w:top w:val="none" w:sz="0" w:space="0" w:color="auto"/>
        <w:left w:val="none" w:sz="0" w:space="0" w:color="auto"/>
        <w:bottom w:val="none" w:sz="0" w:space="0" w:color="auto"/>
        <w:right w:val="none" w:sz="0" w:space="0" w:color="auto"/>
      </w:divBdr>
    </w:div>
    <w:div w:id="1025985832">
      <w:bodyDiv w:val="1"/>
      <w:marLeft w:val="0"/>
      <w:marRight w:val="0"/>
      <w:marTop w:val="0"/>
      <w:marBottom w:val="0"/>
      <w:divBdr>
        <w:top w:val="none" w:sz="0" w:space="0" w:color="auto"/>
        <w:left w:val="none" w:sz="0" w:space="0" w:color="auto"/>
        <w:bottom w:val="none" w:sz="0" w:space="0" w:color="auto"/>
        <w:right w:val="none" w:sz="0" w:space="0" w:color="auto"/>
      </w:divBdr>
    </w:div>
    <w:div w:id="1466193166">
      <w:bodyDiv w:val="1"/>
      <w:marLeft w:val="0"/>
      <w:marRight w:val="0"/>
      <w:marTop w:val="0"/>
      <w:marBottom w:val="0"/>
      <w:divBdr>
        <w:top w:val="none" w:sz="0" w:space="0" w:color="auto"/>
        <w:left w:val="none" w:sz="0" w:space="0" w:color="auto"/>
        <w:bottom w:val="none" w:sz="0" w:space="0" w:color="auto"/>
        <w:right w:val="none" w:sz="0" w:space="0" w:color="auto"/>
      </w:divBdr>
    </w:div>
    <w:div w:id="198196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chard.schmechel@dc.gov" TargetMode="External"/><Relationship Id="rId5" Type="http://schemas.openxmlformats.org/officeDocument/2006/relationships/settings" Target="settings.xml"/><Relationship Id="rId10" Type="http://schemas.openxmlformats.org/officeDocument/2006/relationships/hyperlink" Target="http://www.ccrc.dc.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7B794-00AC-4651-901A-7CA37D660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ServUS</dc:creator>
  <cp:lastModifiedBy>ServUS</cp:lastModifiedBy>
  <cp:revision>2</cp:revision>
  <dcterms:created xsi:type="dcterms:W3CDTF">2017-05-22T12:27:00Z</dcterms:created>
  <dcterms:modified xsi:type="dcterms:W3CDTF">2017-05-22T12:27:00Z</dcterms:modified>
</cp:coreProperties>
</file>