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DFE0" w14:textId="1686A661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>Resolution</w:t>
      </w:r>
      <w:r w:rsidR="005C42A7">
        <w:rPr>
          <w:rFonts w:ascii="Calibri" w:hAnsi="Calibri"/>
        </w:rPr>
        <w:t>: T</w:t>
      </w:r>
      <w:r w:rsidRPr="00D43CD4">
        <w:rPr>
          <w:rFonts w:ascii="Calibri" w:hAnsi="Calibri"/>
        </w:rPr>
        <w:t xml:space="preserve">o </w:t>
      </w:r>
      <w:r w:rsidR="005C42A7">
        <w:rPr>
          <w:rFonts w:ascii="Calibri" w:hAnsi="Calibri"/>
        </w:rPr>
        <w:t>s</w:t>
      </w:r>
      <w:r w:rsidR="007A2FEF">
        <w:rPr>
          <w:rFonts w:ascii="Calibri" w:hAnsi="Calibri"/>
        </w:rPr>
        <w:t xml:space="preserve">upport </w:t>
      </w:r>
      <w:r w:rsidR="005C42A7">
        <w:rPr>
          <w:rFonts w:ascii="Calibri" w:hAnsi="Calibri"/>
        </w:rPr>
        <w:t>e</w:t>
      </w:r>
      <w:r w:rsidR="007A2FEF">
        <w:rPr>
          <w:rFonts w:ascii="Calibri" w:hAnsi="Calibri"/>
        </w:rPr>
        <w:t>nhance</w:t>
      </w:r>
      <w:r w:rsidR="001C3CC8">
        <w:rPr>
          <w:rFonts w:ascii="Calibri" w:hAnsi="Calibri"/>
        </w:rPr>
        <w:t>d</w:t>
      </w:r>
      <w:r w:rsidR="007A2FEF">
        <w:rPr>
          <w:rFonts w:ascii="Calibri" w:hAnsi="Calibri"/>
        </w:rPr>
        <w:t xml:space="preserve"> </w:t>
      </w:r>
      <w:r w:rsidR="005C42A7">
        <w:rPr>
          <w:rFonts w:ascii="Calibri" w:hAnsi="Calibri"/>
        </w:rPr>
        <w:t>responses</w:t>
      </w:r>
      <w:r w:rsidR="007A2FEF">
        <w:rPr>
          <w:rFonts w:ascii="Calibri" w:hAnsi="Calibri"/>
        </w:rPr>
        <w:t xml:space="preserve"> to </w:t>
      </w:r>
      <w:r w:rsidR="005C42A7">
        <w:rPr>
          <w:rFonts w:ascii="Calibri" w:hAnsi="Calibri"/>
        </w:rPr>
        <w:t>c</w:t>
      </w:r>
      <w:r w:rsidR="007A2FEF">
        <w:rPr>
          <w:rFonts w:ascii="Calibri" w:hAnsi="Calibri"/>
        </w:rPr>
        <w:t xml:space="preserve">hronic </w:t>
      </w:r>
      <w:r w:rsidR="005C42A7">
        <w:rPr>
          <w:rFonts w:ascii="Calibri" w:hAnsi="Calibri"/>
        </w:rPr>
        <w:t>a</w:t>
      </w:r>
      <w:r w:rsidR="007A2FEF">
        <w:rPr>
          <w:rFonts w:ascii="Calibri" w:hAnsi="Calibri"/>
        </w:rPr>
        <w:t xml:space="preserve">bsenteeism and </w:t>
      </w:r>
      <w:r w:rsidR="005C42A7">
        <w:rPr>
          <w:rFonts w:ascii="Calibri" w:hAnsi="Calibri"/>
        </w:rPr>
        <w:t>t</w:t>
      </w:r>
      <w:r w:rsidR="007A2FEF">
        <w:rPr>
          <w:rFonts w:ascii="Calibri" w:hAnsi="Calibri"/>
        </w:rPr>
        <w:t xml:space="preserve">ruancy </w:t>
      </w:r>
    </w:p>
    <w:p w14:paraId="0F296BAB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7C69A0C6" w14:textId="30D13E75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 xml:space="preserve">PURPOSE: </w:t>
      </w:r>
      <w:r w:rsidRPr="00D43CD4">
        <w:rPr>
          <w:rFonts w:ascii="Calibri" w:hAnsi="Calibri"/>
        </w:rPr>
        <w:tab/>
        <w:t xml:space="preserve">For the </w:t>
      </w:r>
      <w:r w:rsidR="007A2FEF">
        <w:rPr>
          <w:rFonts w:ascii="Calibri" w:hAnsi="Calibri"/>
        </w:rPr>
        <w:t>Juvenile Justice Advisory Group of the District of Columbia</w:t>
      </w:r>
      <w:r w:rsidRPr="00D43CD4">
        <w:rPr>
          <w:rFonts w:ascii="Calibri" w:hAnsi="Calibri"/>
        </w:rPr>
        <w:t xml:space="preserve"> </w:t>
      </w:r>
      <w:r w:rsidR="00021EFA">
        <w:rPr>
          <w:rFonts w:ascii="Calibri" w:hAnsi="Calibri"/>
        </w:rPr>
        <w:t xml:space="preserve">(JJAG) </w:t>
      </w:r>
      <w:r w:rsidRPr="00D43CD4">
        <w:rPr>
          <w:rFonts w:ascii="Calibri" w:hAnsi="Calibri"/>
        </w:rPr>
        <w:t xml:space="preserve">to </w:t>
      </w:r>
      <w:bookmarkStart w:id="0" w:name="_Hlk98429937"/>
      <w:r w:rsidR="001C3CC8" w:rsidRPr="00D43CD4">
        <w:rPr>
          <w:rFonts w:ascii="Calibri" w:hAnsi="Calibri"/>
        </w:rPr>
        <w:t xml:space="preserve">support </w:t>
      </w:r>
      <w:r w:rsidR="001C3CC8">
        <w:rPr>
          <w:rFonts w:ascii="Calibri" w:hAnsi="Calibri"/>
        </w:rPr>
        <w:t xml:space="preserve">the provision of </w:t>
      </w:r>
      <w:r w:rsidR="001C3CC8" w:rsidRPr="007A2FEF">
        <w:t>increased</w:t>
      </w:r>
      <w:r w:rsidR="007A2FEF" w:rsidRPr="007A2FEF">
        <w:t xml:space="preserve"> resources to schools and the </w:t>
      </w:r>
      <w:r w:rsidR="001C3CC8">
        <w:t>implementation</w:t>
      </w:r>
      <w:r w:rsidR="007A2FEF" w:rsidRPr="007A2FEF">
        <w:t xml:space="preserve"> of enhancements at schools to attract and </w:t>
      </w:r>
      <w:r w:rsidR="00201021">
        <w:t>improve</w:t>
      </w:r>
      <w:r w:rsidR="00201021" w:rsidRPr="007A2FEF">
        <w:t xml:space="preserve"> </w:t>
      </w:r>
      <w:r w:rsidR="001C3CC8">
        <w:t>student attendance and engagement,</w:t>
      </w:r>
      <w:r w:rsidR="007A2FEF" w:rsidRPr="007A2FEF">
        <w:t xml:space="preserve"> as well as </w:t>
      </w:r>
      <w:r w:rsidR="00C73D68">
        <w:t xml:space="preserve">enhance </w:t>
      </w:r>
      <w:r w:rsidR="007A2FEF" w:rsidRPr="007A2FEF">
        <w:t>community-based resources t</w:t>
      </w:r>
      <w:r w:rsidR="00104A28">
        <w:t>hat</w:t>
      </w:r>
      <w:r w:rsidR="007A2FEF" w:rsidRPr="007A2FEF">
        <w:t xml:space="preserve"> respond to youth who are disconnected from schools</w:t>
      </w:r>
      <w:bookmarkEnd w:id="0"/>
      <w:r w:rsidR="001C3CC8">
        <w:t>.</w:t>
      </w:r>
    </w:p>
    <w:p w14:paraId="7B49B3C7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5582D034" w14:textId="3063FE18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>WHEREAS:</w:t>
      </w:r>
      <w:r w:rsidR="001C3CC8">
        <w:rPr>
          <w:rFonts w:ascii="Calibri" w:hAnsi="Calibri"/>
        </w:rPr>
        <w:t xml:space="preserve">        The </w:t>
      </w:r>
      <w:r w:rsidR="006B39BB">
        <w:rPr>
          <w:rFonts w:ascii="Calibri" w:hAnsi="Calibri"/>
        </w:rPr>
        <w:t>JJAG</w:t>
      </w:r>
      <w:r w:rsidR="001C3CC8">
        <w:rPr>
          <w:rFonts w:ascii="Calibri" w:hAnsi="Calibri"/>
        </w:rPr>
        <w:t xml:space="preserve"> </w:t>
      </w:r>
      <w:r w:rsidR="001C3CC8" w:rsidRPr="001C3CC8">
        <w:rPr>
          <w:rFonts w:ascii="Calibri" w:hAnsi="Calibri"/>
        </w:rPr>
        <w:t xml:space="preserve">provides active consultation to the Mayor and government agencies </w:t>
      </w:r>
      <w:r w:rsidR="006B39BB">
        <w:rPr>
          <w:rFonts w:ascii="Calibri" w:hAnsi="Calibri"/>
        </w:rPr>
        <w:t>to</w:t>
      </w:r>
      <w:r w:rsidR="006B39BB" w:rsidRPr="001C3CC8">
        <w:rPr>
          <w:rFonts w:ascii="Calibri" w:hAnsi="Calibri"/>
        </w:rPr>
        <w:t xml:space="preserve"> </w:t>
      </w:r>
      <w:r w:rsidR="001C3CC8" w:rsidRPr="001C3CC8">
        <w:rPr>
          <w:rFonts w:ascii="Calibri" w:hAnsi="Calibri"/>
        </w:rPr>
        <w:t xml:space="preserve">ensure the provision of comprehensive delinquency prevention programs </w:t>
      </w:r>
      <w:r w:rsidR="006B39BB">
        <w:rPr>
          <w:rFonts w:ascii="Calibri" w:hAnsi="Calibri"/>
        </w:rPr>
        <w:t>and programs designed to reduce status offen</w:t>
      </w:r>
      <w:r w:rsidR="00104A28">
        <w:rPr>
          <w:rFonts w:ascii="Calibri" w:hAnsi="Calibri"/>
        </w:rPr>
        <w:t>se</w:t>
      </w:r>
      <w:r w:rsidR="006B39BB">
        <w:rPr>
          <w:rFonts w:ascii="Calibri" w:hAnsi="Calibri"/>
        </w:rPr>
        <w:t xml:space="preserve"> behaviors </w:t>
      </w:r>
      <w:r w:rsidR="001C3CC8" w:rsidRPr="001C3CC8">
        <w:rPr>
          <w:rFonts w:ascii="Calibri" w:hAnsi="Calibri"/>
        </w:rPr>
        <w:t>that meet the needs of youth through the collaboration of many local systems with which a youth may interface.</w:t>
      </w:r>
    </w:p>
    <w:p w14:paraId="167A3EEC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607BF3FC" w14:textId="440BB98E" w:rsidR="000F6D21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>WHEREAS:</w:t>
      </w:r>
      <w:r w:rsidRPr="00D43CD4">
        <w:rPr>
          <w:rFonts w:ascii="Calibri" w:hAnsi="Calibri"/>
        </w:rPr>
        <w:tab/>
      </w:r>
      <w:r w:rsidR="001C3CC8" w:rsidRPr="001C3CC8">
        <w:rPr>
          <w:rFonts w:ascii="Calibri" w:hAnsi="Calibri"/>
        </w:rPr>
        <w:t>The JJAG provided the Mayor with a report and a set of recommendations for improvement of our local</w:t>
      </w:r>
      <w:r w:rsidR="006B39BB">
        <w:rPr>
          <w:rFonts w:ascii="Calibri" w:hAnsi="Calibri"/>
        </w:rPr>
        <w:t xml:space="preserve"> </w:t>
      </w:r>
      <w:r w:rsidR="00741742">
        <w:rPr>
          <w:rFonts w:ascii="Calibri" w:hAnsi="Calibri"/>
        </w:rPr>
        <w:t>responses to status offense behaviors</w:t>
      </w:r>
      <w:r w:rsidR="001C3CC8" w:rsidRPr="001C3CC8">
        <w:rPr>
          <w:rFonts w:ascii="Calibri" w:hAnsi="Calibri"/>
        </w:rPr>
        <w:t xml:space="preserve"> in February 2020</w:t>
      </w:r>
      <w:r w:rsidR="00122FC8">
        <w:rPr>
          <w:rFonts w:ascii="Calibri" w:hAnsi="Calibri"/>
        </w:rPr>
        <w:t xml:space="preserve">, including enhanced prevention and </w:t>
      </w:r>
      <w:r w:rsidR="008F3ADD">
        <w:rPr>
          <w:rFonts w:ascii="Calibri" w:hAnsi="Calibri"/>
        </w:rPr>
        <w:t>off-ramp opportunities.</w:t>
      </w:r>
      <w:r w:rsidR="001C3CC8" w:rsidRPr="001C3CC8">
        <w:rPr>
          <w:rFonts w:ascii="Calibri" w:hAnsi="Calibri"/>
        </w:rPr>
        <w:t xml:space="preserve"> The JJAG report, titled “Create New Opportunities for Persons In Need of Supervision (PINS) to Succeed Without Legal System Intervention”</w:t>
      </w:r>
      <w:r w:rsidR="000F6D21">
        <w:rPr>
          <w:rFonts w:ascii="Calibri" w:hAnsi="Calibri"/>
        </w:rPr>
        <w:t xml:space="preserve"> </w:t>
      </w:r>
      <w:r w:rsidR="006B39BB">
        <w:rPr>
          <w:rFonts w:ascii="Calibri" w:hAnsi="Calibri"/>
        </w:rPr>
        <w:t xml:space="preserve">(PINS Report) </w:t>
      </w:r>
      <w:r w:rsidR="001C3CC8" w:rsidRPr="001C3CC8">
        <w:rPr>
          <w:rFonts w:ascii="Calibri" w:hAnsi="Calibri"/>
        </w:rPr>
        <w:t>proposes removing the juvenile justice system as a possible response to status offense behaviors, such as truancy, and strengthening a community-based set of services to meet the needs of youth and families.</w:t>
      </w:r>
    </w:p>
    <w:p w14:paraId="27A5E26C" w14:textId="77777777" w:rsidR="00D43CD4" w:rsidRPr="00D43CD4" w:rsidRDefault="00D43CD4" w:rsidP="00D43CD4">
      <w:pPr>
        <w:spacing w:line="240" w:lineRule="auto"/>
        <w:ind w:left="0"/>
        <w:contextualSpacing/>
        <w:rPr>
          <w:rFonts w:ascii="Calibri" w:hAnsi="Calibri"/>
        </w:rPr>
      </w:pPr>
    </w:p>
    <w:p w14:paraId="08AC3000" w14:textId="2CF60FB6" w:rsidR="00104A28" w:rsidRPr="00104A28" w:rsidRDefault="00D43CD4" w:rsidP="00E972F1">
      <w:pPr>
        <w:spacing w:after="0" w:line="240" w:lineRule="auto"/>
        <w:ind w:left="86"/>
        <w:contextualSpacing/>
        <w:rPr>
          <w:sz w:val="22"/>
          <w:szCs w:val="22"/>
        </w:rPr>
      </w:pPr>
      <w:r w:rsidRPr="00104A28">
        <w:rPr>
          <w:rFonts w:ascii="Calibri" w:hAnsi="Calibri"/>
        </w:rPr>
        <w:t>WHEREAS:</w:t>
      </w:r>
      <w:r w:rsidRPr="00104A28">
        <w:rPr>
          <w:rFonts w:ascii="Calibri" w:hAnsi="Calibri"/>
        </w:rPr>
        <w:tab/>
      </w:r>
      <w:r w:rsidR="0042291B" w:rsidRPr="00104A28">
        <w:rPr>
          <w:rFonts w:ascii="Calibri" w:hAnsi="Calibri"/>
        </w:rPr>
        <w:t xml:space="preserve">The </w:t>
      </w:r>
      <w:r w:rsidR="00104A28" w:rsidRPr="00104A28">
        <w:t>JJAG</w:t>
      </w:r>
      <w:r w:rsidR="0042291B" w:rsidRPr="00104A28">
        <w:rPr>
          <w:rFonts w:ascii="Calibri" w:hAnsi="Calibri"/>
        </w:rPr>
        <w:t xml:space="preserve"> </w:t>
      </w:r>
      <w:r w:rsidR="00C73D68" w:rsidRPr="00104A28">
        <w:rPr>
          <w:rFonts w:ascii="Calibri" w:hAnsi="Calibri"/>
        </w:rPr>
        <w:t xml:space="preserve">supports investments and enhancements that align with the PINS </w:t>
      </w:r>
      <w:r w:rsidR="00021EFA" w:rsidRPr="00104A28">
        <w:rPr>
          <w:rFonts w:ascii="Calibri" w:hAnsi="Calibri"/>
        </w:rPr>
        <w:t>R</w:t>
      </w:r>
      <w:r w:rsidR="00C73D68" w:rsidRPr="00104A28">
        <w:rPr>
          <w:rFonts w:ascii="Calibri" w:hAnsi="Calibri"/>
        </w:rPr>
        <w:t xml:space="preserve">eport and </w:t>
      </w:r>
      <w:r w:rsidR="00021EFA" w:rsidRPr="00104A28">
        <w:rPr>
          <w:rFonts w:ascii="Calibri" w:hAnsi="Calibri"/>
        </w:rPr>
        <w:t xml:space="preserve">its </w:t>
      </w:r>
      <w:r w:rsidR="00C73D68" w:rsidRPr="00104A28">
        <w:rPr>
          <w:rFonts w:ascii="Calibri" w:hAnsi="Calibri"/>
        </w:rPr>
        <w:t xml:space="preserve">recommendations, including the provision of </w:t>
      </w:r>
      <w:r w:rsidR="00C9178A" w:rsidRPr="00104A28">
        <w:rPr>
          <w:rFonts w:ascii="Calibri" w:hAnsi="Calibri"/>
        </w:rPr>
        <w:t xml:space="preserve">increased </w:t>
      </w:r>
      <w:r w:rsidR="0042291B" w:rsidRPr="00104A28">
        <w:t>resource</w:t>
      </w:r>
      <w:r w:rsidR="00C9178A" w:rsidRPr="00104A28">
        <w:t xml:space="preserve">s </w:t>
      </w:r>
      <w:r w:rsidR="000F6D21" w:rsidRPr="00104A28">
        <w:t>that</w:t>
      </w:r>
      <w:r w:rsidR="0042291B" w:rsidRPr="00104A28">
        <w:t xml:space="preserve"> </w:t>
      </w:r>
      <w:r w:rsidR="00C73D68" w:rsidRPr="00104A28">
        <w:t>enhance</w:t>
      </w:r>
      <w:r w:rsidR="0042291B" w:rsidRPr="00104A28">
        <w:t xml:space="preserve"> respon</w:t>
      </w:r>
      <w:r w:rsidR="00C73D68" w:rsidRPr="00104A28">
        <w:t>ses</w:t>
      </w:r>
      <w:r w:rsidR="0042291B" w:rsidRPr="00104A28">
        <w:t xml:space="preserve"> to chronic absenteeism and </w:t>
      </w:r>
      <w:r w:rsidR="000F6D21" w:rsidRPr="00104A28">
        <w:t>tr</w:t>
      </w:r>
      <w:r w:rsidR="0042291B" w:rsidRPr="00104A28">
        <w:t xml:space="preserve">uancy. </w:t>
      </w:r>
    </w:p>
    <w:p w14:paraId="3C2EEA20" w14:textId="77777777" w:rsidR="00C9178A" w:rsidRPr="00C9178A" w:rsidRDefault="00C9178A" w:rsidP="00104A28">
      <w:pPr>
        <w:pStyle w:val="ListParagraph"/>
        <w:ind w:left="90"/>
        <w:contextualSpacing/>
        <w:rPr>
          <w:sz w:val="24"/>
          <w:szCs w:val="24"/>
        </w:rPr>
      </w:pPr>
    </w:p>
    <w:p w14:paraId="128673F7" w14:textId="008E029E" w:rsidR="00265EB9" w:rsidRPr="00021EFA" w:rsidRDefault="00D43CD4" w:rsidP="00265EB9">
      <w:pPr>
        <w:spacing w:line="240" w:lineRule="auto"/>
        <w:ind w:left="0"/>
        <w:contextualSpacing/>
        <w:rPr>
          <w:rFonts w:ascii="Calibri" w:hAnsi="Calibri"/>
        </w:rPr>
      </w:pPr>
      <w:r w:rsidRPr="00D43CD4">
        <w:rPr>
          <w:rFonts w:ascii="Calibri" w:hAnsi="Calibri"/>
        </w:rPr>
        <w:t xml:space="preserve">THEREFORE: </w:t>
      </w:r>
      <w:r w:rsidR="00BF29F7">
        <w:rPr>
          <w:rFonts w:ascii="Calibri" w:hAnsi="Calibri"/>
        </w:rPr>
        <w:t xml:space="preserve">     </w:t>
      </w:r>
      <w:r w:rsidRPr="00D43CD4">
        <w:rPr>
          <w:rFonts w:ascii="Calibri" w:hAnsi="Calibri"/>
        </w:rPr>
        <w:t xml:space="preserve">Be it resolved that the </w:t>
      </w:r>
      <w:r w:rsidR="001B3090">
        <w:rPr>
          <w:rFonts w:ascii="Calibri" w:hAnsi="Calibri"/>
        </w:rPr>
        <w:t>JJAG</w:t>
      </w:r>
      <w:r w:rsidRPr="00D43CD4">
        <w:rPr>
          <w:rFonts w:ascii="Calibri" w:hAnsi="Calibri"/>
        </w:rPr>
        <w:t xml:space="preserve"> support</w:t>
      </w:r>
      <w:r w:rsidR="007A2FEF">
        <w:rPr>
          <w:rFonts w:ascii="Calibri" w:hAnsi="Calibri"/>
        </w:rPr>
        <w:t>s</w:t>
      </w:r>
      <w:r w:rsidRPr="00D43CD4">
        <w:rPr>
          <w:rFonts w:ascii="Calibri" w:hAnsi="Calibri"/>
        </w:rPr>
        <w:t xml:space="preserve"> </w:t>
      </w:r>
      <w:r w:rsidR="00C9178A">
        <w:rPr>
          <w:rFonts w:ascii="Calibri" w:hAnsi="Calibri"/>
        </w:rPr>
        <w:t xml:space="preserve">the </w:t>
      </w:r>
      <w:r w:rsidR="000F6D21">
        <w:rPr>
          <w:rFonts w:ascii="Calibri" w:hAnsi="Calibri"/>
        </w:rPr>
        <w:t xml:space="preserve">provision of </w:t>
      </w:r>
      <w:r w:rsidR="000F6D21" w:rsidRPr="007A2FEF">
        <w:t>increased resources to schools and</w:t>
      </w:r>
      <w:r w:rsidR="00C9178A">
        <w:t xml:space="preserve"> community-based resources that are aligned with the </w:t>
      </w:r>
      <w:r w:rsidR="00C9178A">
        <w:rPr>
          <w:rFonts w:ascii="Calibri" w:hAnsi="Calibri"/>
        </w:rPr>
        <w:t>PINS report and recommendations, including enhancements that improve responses to chronic absenteeism and truancy</w:t>
      </w:r>
      <w:r w:rsidR="001B3090">
        <w:rPr>
          <w:rFonts w:ascii="Calibri" w:hAnsi="Calibri"/>
        </w:rPr>
        <w:t>,</w:t>
      </w:r>
      <w:r w:rsidR="00265EB9">
        <w:rPr>
          <w:rFonts w:ascii="Calibri" w:hAnsi="Calibri"/>
        </w:rPr>
        <w:t xml:space="preserve"> such as</w:t>
      </w:r>
      <w:r w:rsidR="00021EFA">
        <w:rPr>
          <w:rFonts w:ascii="Calibri" w:hAnsi="Calibri"/>
        </w:rPr>
        <w:t xml:space="preserve"> providing</w:t>
      </w:r>
      <w:r w:rsidR="00265EB9">
        <w:t>:</w:t>
      </w:r>
    </w:p>
    <w:p w14:paraId="4B1B9462" w14:textId="10DA6005" w:rsidR="00265EB9" w:rsidRPr="00C9178A" w:rsidRDefault="00021EFA" w:rsidP="00265EB9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265EB9">
        <w:rPr>
          <w:sz w:val="24"/>
          <w:szCs w:val="24"/>
        </w:rPr>
        <w:t>chool-based p</w:t>
      </w:r>
      <w:r w:rsidR="00265EB9" w:rsidRPr="00C9178A">
        <w:rPr>
          <w:sz w:val="24"/>
          <w:szCs w:val="24"/>
        </w:rPr>
        <w:t>ersonnel responsible for coordinating supports for youth and families experiencing attendance and truancy issues. These resources should be: (1) independent of existing social work and mental health staff (not supplanting); (2) not utilized to provide academic instruction or direct supervision to students; (3) trained in strengths-based facilitation, positive youth development,</w:t>
      </w:r>
      <w:r w:rsidR="00265EB9">
        <w:rPr>
          <w:sz w:val="24"/>
          <w:szCs w:val="24"/>
        </w:rPr>
        <w:t xml:space="preserve"> cultural humility,</w:t>
      </w:r>
      <w:r w:rsidR="00265EB9" w:rsidRPr="00C9178A">
        <w:rPr>
          <w:sz w:val="24"/>
          <w:szCs w:val="24"/>
        </w:rPr>
        <w:t xml:space="preserve"> and trauma-informed practices; and (4) responsible for referring youth and families to appropriate resources that effectively mitigating challenges to educational engagement</w:t>
      </w:r>
      <w:r w:rsidR="00DB40DD">
        <w:rPr>
          <w:sz w:val="24"/>
          <w:szCs w:val="24"/>
        </w:rPr>
        <w:t>;</w:t>
      </w:r>
    </w:p>
    <w:p w14:paraId="7C1862A4" w14:textId="5765A8EB" w:rsidR="00265EB9" w:rsidRPr="00C9178A" w:rsidRDefault="00021EFA" w:rsidP="00265EB9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265EB9">
        <w:rPr>
          <w:sz w:val="24"/>
          <w:szCs w:val="24"/>
        </w:rPr>
        <w:t>ools</w:t>
      </w:r>
      <w:r>
        <w:rPr>
          <w:sz w:val="24"/>
          <w:szCs w:val="24"/>
        </w:rPr>
        <w:t xml:space="preserve"> </w:t>
      </w:r>
      <w:r w:rsidR="00265EB9">
        <w:rPr>
          <w:sz w:val="24"/>
          <w:szCs w:val="24"/>
        </w:rPr>
        <w:t xml:space="preserve">that are </w:t>
      </w:r>
      <w:r w:rsidR="00265EB9" w:rsidRPr="00C9178A">
        <w:rPr>
          <w:sz w:val="24"/>
          <w:szCs w:val="24"/>
        </w:rPr>
        <w:t>designed to attract and retain student attendance and effectively engage youth and families</w:t>
      </w:r>
      <w:r>
        <w:rPr>
          <w:sz w:val="24"/>
          <w:szCs w:val="24"/>
        </w:rPr>
        <w:t>, such as expanded use of technology, trainings, physical spaces, and extracurricular activities,</w:t>
      </w:r>
      <w:r w:rsidR="00DB40DD">
        <w:rPr>
          <w:sz w:val="24"/>
          <w:szCs w:val="24"/>
        </w:rPr>
        <w:t xml:space="preserve"> and</w:t>
      </w:r>
    </w:p>
    <w:p w14:paraId="4B270C87" w14:textId="4423DEBB" w:rsidR="00D43CD4" w:rsidRPr="00DB40DD" w:rsidRDefault="00021EFA" w:rsidP="00E972F1">
      <w:pPr>
        <w:pStyle w:val="ListParagraph"/>
        <w:numPr>
          <w:ilvl w:val="0"/>
          <w:numId w:val="2"/>
        </w:numPr>
        <w:contextualSpacing/>
      </w:pPr>
      <w:r>
        <w:rPr>
          <w:sz w:val="24"/>
          <w:szCs w:val="24"/>
        </w:rPr>
        <w:lastRenderedPageBreak/>
        <w:t>A</w:t>
      </w:r>
      <w:r w:rsidR="00265EB9" w:rsidRPr="00C9178A">
        <w:rPr>
          <w:sz w:val="24"/>
          <w:szCs w:val="24"/>
        </w:rPr>
        <w:t xml:space="preserve">dditional resources to </w:t>
      </w:r>
      <w:r w:rsidR="00265EB9">
        <w:rPr>
          <w:sz w:val="24"/>
          <w:szCs w:val="24"/>
        </w:rPr>
        <w:t xml:space="preserve">the </w:t>
      </w:r>
      <w:r w:rsidR="00265EB9" w:rsidRPr="00C9178A">
        <w:rPr>
          <w:sz w:val="24"/>
          <w:szCs w:val="24"/>
        </w:rPr>
        <w:t>community and community-based organizations that support youth who are disconnected from schools</w:t>
      </w:r>
      <w:r w:rsidR="00265EB9">
        <w:rPr>
          <w:sz w:val="24"/>
          <w:szCs w:val="24"/>
        </w:rPr>
        <w:t xml:space="preserve">, such as street outreach teams, non-law enforcement mobile responses, </w:t>
      </w:r>
      <w:r w:rsidR="00DB40DD">
        <w:rPr>
          <w:sz w:val="24"/>
          <w:szCs w:val="24"/>
        </w:rPr>
        <w:t xml:space="preserve">or </w:t>
      </w:r>
      <w:r w:rsidR="00265EB9">
        <w:rPr>
          <w:sz w:val="24"/>
          <w:szCs w:val="24"/>
        </w:rPr>
        <w:t xml:space="preserve">community-based hubs staffed by trained youth advocates. </w:t>
      </w:r>
    </w:p>
    <w:sectPr w:rsidR="00D43CD4" w:rsidRPr="00DB40DD" w:rsidSect="005F65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4B46" w14:textId="77777777" w:rsidR="00F66197" w:rsidRDefault="00F66197" w:rsidP="007A2FEF">
      <w:pPr>
        <w:spacing w:after="0" w:line="240" w:lineRule="auto"/>
      </w:pPr>
      <w:r>
        <w:separator/>
      </w:r>
    </w:p>
  </w:endnote>
  <w:endnote w:type="continuationSeparator" w:id="0">
    <w:p w14:paraId="14B06ACF" w14:textId="77777777" w:rsidR="00F66197" w:rsidRDefault="00F66197" w:rsidP="007A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E6D8" w14:textId="77777777" w:rsidR="007B20EE" w:rsidRDefault="007B2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D8A4" w14:textId="77777777" w:rsidR="007B20EE" w:rsidRDefault="007B20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4DEE" w14:textId="77777777" w:rsidR="007B20EE" w:rsidRDefault="007B2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8C3D" w14:textId="77777777" w:rsidR="00F66197" w:rsidRDefault="00F66197" w:rsidP="007A2FEF">
      <w:pPr>
        <w:spacing w:after="0" w:line="240" w:lineRule="auto"/>
      </w:pPr>
      <w:r>
        <w:separator/>
      </w:r>
    </w:p>
  </w:footnote>
  <w:footnote w:type="continuationSeparator" w:id="0">
    <w:p w14:paraId="5BD3F82D" w14:textId="77777777" w:rsidR="00F66197" w:rsidRDefault="00F66197" w:rsidP="007A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5D69" w14:textId="77777777" w:rsidR="007B20EE" w:rsidRDefault="007B2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570B" w14:textId="2C709C1C" w:rsidR="007A2FEF" w:rsidRPr="007A2FEF" w:rsidRDefault="00DC4B60" w:rsidP="007A2FEF">
    <w:pPr>
      <w:pStyle w:val="Header"/>
      <w:jc w:val="center"/>
      <w:rPr>
        <w:b/>
        <w:bCs/>
        <w:sz w:val="32"/>
        <w:szCs w:val="32"/>
      </w:rPr>
    </w:pPr>
    <w:sdt>
      <w:sdtPr>
        <w:rPr>
          <w:b/>
          <w:bCs/>
          <w:sz w:val="32"/>
          <w:szCs w:val="32"/>
        </w:rPr>
        <w:id w:val="-1328129060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32"/>
            <w:szCs w:val="32"/>
          </w:rPr>
          <w:pict w14:anchorId="32B590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A2FEF" w:rsidRPr="007A2FEF">
      <w:rPr>
        <w:b/>
        <w:bCs/>
        <w:sz w:val="32"/>
        <w:szCs w:val="32"/>
      </w:rPr>
      <w:t>Juvenile Justice Advisory Group</w:t>
    </w:r>
  </w:p>
  <w:p w14:paraId="3925C83A" w14:textId="63C684C5" w:rsidR="007A2FEF" w:rsidRPr="007A2FEF" w:rsidRDefault="007A2FEF" w:rsidP="007A2FEF">
    <w:pPr>
      <w:pStyle w:val="Header"/>
      <w:jc w:val="center"/>
      <w:rPr>
        <w:b/>
        <w:bCs/>
        <w:sz w:val="32"/>
        <w:szCs w:val="32"/>
      </w:rPr>
    </w:pPr>
    <w:r w:rsidRPr="007A2FEF">
      <w:rPr>
        <w:b/>
        <w:bCs/>
        <w:sz w:val="32"/>
        <w:szCs w:val="32"/>
      </w:rPr>
      <w:t>RESOLUTION</w:t>
    </w:r>
    <w:r>
      <w:rPr>
        <w:b/>
        <w:bCs/>
        <w:sz w:val="32"/>
        <w:szCs w:val="32"/>
      </w:rPr>
      <w:t xml:space="preserve"> 2022-1</w:t>
    </w:r>
  </w:p>
  <w:p w14:paraId="2D9B2E2D" w14:textId="332B6FC9" w:rsidR="007A2FEF" w:rsidRDefault="007A2FEF" w:rsidP="007A2FEF">
    <w:pPr>
      <w:pStyle w:val="Header"/>
      <w:jc w:val="center"/>
      <w:rPr>
        <w:b/>
        <w:bCs/>
      </w:rPr>
    </w:pPr>
    <w:r w:rsidRPr="007A2FEF">
      <w:rPr>
        <w:b/>
        <w:bCs/>
      </w:rPr>
      <w:t>Supporting Enhance</w:t>
    </w:r>
    <w:r w:rsidR="001C3CC8">
      <w:rPr>
        <w:b/>
        <w:bCs/>
      </w:rPr>
      <w:t>d</w:t>
    </w:r>
    <w:r w:rsidRPr="007A2FEF">
      <w:rPr>
        <w:b/>
        <w:bCs/>
      </w:rPr>
      <w:t xml:space="preserve"> Responses to Chronic Absenteeism and Truancy</w:t>
    </w:r>
  </w:p>
  <w:p w14:paraId="04A81C4B" w14:textId="77777777" w:rsidR="001C3CC8" w:rsidRPr="007A2FEF" w:rsidRDefault="001C3CC8" w:rsidP="007A2FEF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CD69" w14:textId="77777777" w:rsidR="007B20EE" w:rsidRDefault="007B2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7883"/>
    <w:multiLevelType w:val="hybridMultilevel"/>
    <w:tmpl w:val="A0E8915E"/>
    <w:lvl w:ilvl="0" w:tplc="F7344D2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86BA4"/>
    <w:multiLevelType w:val="hybridMultilevel"/>
    <w:tmpl w:val="AEDA4E06"/>
    <w:lvl w:ilvl="0" w:tplc="B62C635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69"/>
    <w:rsid w:val="00021EFA"/>
    <w:rsid w:val="00032089"/>
    <w:rsid w:val="0004557B"/>
    <w:rsid w:val="000D2C41"/>
    <w:rsid w:val="000F6D21"/>
    <w:rsid w:val="00104A28"/>
    <w:rsid w:val="00122FC8"/>
    <w:rsid w:val="00124F49"/>
    <w:rsid w:val="001B3090"/>
    <w:rsid w:val="001C3CC8"/>
    <w:rsid w:val="001F0BF9"/>
    <w:rsid w:val="001F2BD7"/>
    <w:rsid w:val="001F69BD"/>
    <w:rsid w:val="00201021"/>
    <w:rsid w:val="00242F27"/>
    <w:rsid w:val="00265EB9"/>
    <w:rsid w:val="00327E63"/>
    <w:rsid w:val="00345055"/>
    <w:rsid w:val="003C3066"/>
    <w:rsid w:val="003D46BD"/>
    <w:rsid w:val="004214FB"/>
    <w:rsid w:val="0042291B"/>
    <w:rsid w:val="004B25DA"/>
    <w:rsid w:val="004E68D1"/>
    <w:rsid w:val="004E6A30"/>
    <w:rsid w:val="00553B93"/>
    <w:rsid w:val="00572726"/>
    <w:rsid w:val="00595BE7"/>
    <w:rsid w:val="005C42A7"/>
    <w:rsid w:val="005F657D"/>
    <w:rsid w:val="0063422F"/>
    <w:rsid w:val="00651113"/>
    <w:rsid w:val="00666B77"/>
    <w:rsid w:val="00696BE7"/>
    <w:rsid w:val="006B39BB"/>
    <w:rsid w:val="006C330E"/>
    <w:rsid w:val="006D113C"/>
    <w:rsid w:val="00714B67"/>
    <w:rsid w:val="00723DEC"/>
    <w:rsid w:val="00741742"/>
    <w:rsid w:val="00791EC5"/>
    <w:rsid w:val="007A2FEF"/>
    <w:rsid w:val="007B20EE"/>
    <w:rsid w:val="007D5F74"/>
    <w:rsid w:val="00855623"/>
    <w:rsid w:val="00887159"/>
    <w:rsid w:val="008D512C"/>
    <w:rsid w:val="008F3ADD"/>
    <w:rsid w:val="00981354"/>
    <w:rsid w:val="00986C83"/>
    <w:rsid w:val="009C7ECB"/>
    <w:rsid w:val="00A106C2"/>
    <w:rsid w:val="00A12D54"/>
    <w:rsid w:val="00A73DF7"/>
    <w:rsid w:val="00A74067"/>
    <w:rsid w:val="00AD19F7"/>
    <w:rsid w:val="00AD4AD5"/>
    <w:rsid w:val="00AF0452"/>
    <w:rsid w:val="00B62E3C"/>
    <w:rsid w:val="00B62EEE"/>
    <w:rsid w:val="00B661D8"/>
    <w:rsid w:val="00BE1F93"/>
    <w:rsid w:val="00BF29F7"/>
    <w:rsid w:val="00C10587"/>
    <w:rsid w:val="00C73D68"/>
    <w:rsid w:val="00C877F3"/>
    <w:rsid w:val="00C9178A"/>
    <w:rsid w:val="00CA16F5"/>
    <w:rsid w:val="00CA63F1"/>
    <w:rsid w:val="00D01FDD"/>
    <w:rsid w:val="00D43CD4"/>
    <w:rsid w:val="00D556B8"/>
    <w:rsid w:val="00D57FBD"/>
    <w:rsid w:val="00D712C6"/>
    <w:rsid w:val="00DB40DD"/>
    <w:rsid w:val="00DB66C9"/>
    <w:rsid w:val="00DC4B60"/>
    <w:rsid w:val="00E048CF"/>
    <w:rsid w:val="00E33AF5"/>
    <w:rsid w:val="00E60365"/>
    <w:rsid w:val="00E972F1"/>
    <w:rsid w:val="00EC65A5"/>
    <w:rsid w:val="00ED5AEE"/>
    <w:rsid w:val="00F66197"/>
    <w:rsid w:val="00F94869"/>
    <w:rsid w:val="3F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4B58CB"/>
  <w15:chartTrackingRefBased/>
  <w15:docId w15:val="{F38C9724-52D1-4B7D-96E4-32116000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A30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94869"/>
  </w:style>
  <w:style w:type="paragraph" w:styleId="NormalWeb">
    <w:name w:val="Normal (Web)"/>
    <w:basedOn w:val="Normal"/>
    <w:uiPriority w:val="99"/>
    <w:unhideWhenUsed/>
    <w:rsid w:val="001F69B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C4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41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FE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FEF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2FEF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3CC8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C3C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91B"/>
    <w:pPr>
      <w:spacing w:after="0" w:line="240" w:lineRule="auto"/>
      <w:ind w:left="0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9BB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4A28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3BD1E234F574F8540DADE1E93E621" ma:contentTypeVersion="11" ma:contentTypeDescription="Create a new document." ma:contentTypeScope="" ma:versionID="861a18d8338a5087adc3afd96379e531">
  <xsd:schema xmlns:xsd="http://www.w3.org/2001/XMLSchema" xmlns:xs="http://www.w3.org/2001/XMLSchema" xmlns:p="http://schemas.microsoft.com/office/2006/metadata/properties" xmlns:ns3="7d20e943-236a-40ac-9ecb-8da2cabbdcfb" xmlns:ns4="2d4e649c-304a-4316-b995-d618ac25fbc5" targetNamespace="http://schemas.microsoft.com/office/2006/metadata/properties" ma:root="true" ma:fieldsID="c38d5e0441ed5bcfb2d5e53721eb76e8" ns3:_="" ns4:_="">
    <xsd:import namespace="7d20e943-236a-40ac-9ecb-8da2cabbdcfb"/>
    <xsd:import namespace="2d4e649c-304a-4316-b995-d618ac25fb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0e943-236a-40ac-9ecb-8da2cabb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649c-304a-4316-b995-d618ac25fb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27111-12C2-4E0D-AAB0-2E26FB5B5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66B30-87CD-4B9D-BF51-D1F71B3C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0e943-236a-40ac-9ecb-8da2cabbdcfb"/>
    <ds:schemaRef ds:uri="2d4e649c-304a-4316-b995-d618ac25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6086B-FF6D-4FB4-B555-7E93458BC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158C4-632A-46F2-9148-92FC3BA3D9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20e943-236a-40ac-9ecb-8da2cabbdcfb"/>
    <ds:schemaRef ds:uri="http://purl.org/dc/terms/"/>
    <ds:schemaRef ds:uri="http://schemas.openxmlformats.org/package/2006/metadata/core-properties"/>
    <ds:schemaRef ds:uri="2d4e649c-304a-4316-b995-d618ac25fb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Asha</dc:creator>
  <cp:keywords/>
  <dc:description/>
  <cp:lastModifiedBy>Milchman, Melissa (EOM)</cp:lastModifiedBy>
  <cp:revision>2</cp:revision>
  <cp:lastPrinted>2019-02-19T05:04:00Z</cp:lastPrinted>
  <dcterms:created xsi:type="dcterms:W3CDTF">2022-03-31T13:59:00Z</dcterms:created>
  <dcterms:modified xsi:type="dcterms:W3CDTF">2022-03-31T13:59:00Z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0x0101009893BD1E234F574F8540DADE1E93E621</vt:lpwstr>
  </property>
</Properties>
</file>