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64BD2" w14:textId="77777777" w:rsidR="00B26F6F" w:rsidRDefault="00B26F6F" w:rsidP="00B26F6F">
      <w:pPr>
        <w:jc w:val="center"/>
        <w:rPr>
          <w:b/>
          <w:bCs/>
        </w:rPr>
      </w:pPr>
      <w:r>
        <w:rPr>
          <w:b/>
          <w:bCs/>
        </w:rPr>
        <w:t>GREEN AND COMMERCIAL ENERGY CODES TAG</w:t>
      </w:r>
    </w:p>
    <w:p w14:paraId="6A17BCE2" w14:textId="77777777" w:rsidR="00B26F6F" w:rsidRDefault="00B26F6F" w:rsidP="00B26F6F">
      <w:pPr>
        <w:jc w:val="center"/>
        <w:rPr>
          <w:b/>
          <w:bCs/>
        </w:rPr>
      </w:pPr>
      <w:r>
        <w:rPr>
          <w:b/>
          <w:bCs/>
        </w:rPr>
        <w:t>Meeting Notes</w:t>
      </w:r>
    </w:p>
    <w:p w14:paraId="2BB62536" w14:textId="77777777" w:rsidR="00B26F6F" w:rsidRDefault="00B26F6F" w:rsidP="00B26F6F">
      <w:pPr>
        <w:jc w:val="center"/>
        <w:rPr>
          <w:b/>
          <w:bCs/>
        </w:rPr>
      </w:pPr>
      <w:r>
        <w:rPr>
          <w:b/>
          <w:bCs/>
        </w:rPr>
        <w:t xml:space="preserve">Thursday, April 6, 2023 </w:t>
      </w:r>
    </w:p>
    <w:p w14:paraId="05BE4CCE" w14:textId="77777777" w:rsidR="00B26F6F" w:rsidRDefault="00B26F6F" w:rsidP="00B26F6F">
      <w:pPr>
        <w:jc w:val="center"/>
        <w:rPr>
          <w:b/>
          <w:bCs/>
        </w:rPr>
      </w:pPr>
      <w:r>
        <w:rPr>
          <w:b/>
          <w:bCs/>
        </w:rPr>
        <w:t>3:00 – 4:30 PM</w:t>
      </w:r>
    </w:p>
    <w:p w14:paraId="7095398C" w14:textId="77777777" w:rsidR="00B26F6F" w:rsidRDefault="00B26F6F" w:rsidP="00B26F6F">
      <w:pPr>
        <w:jc w:val="center"/>
        <w:rPr>
          <w:b/>
          <w:bCs/>
        </w:rPr>
      </w:pPr>
      <w:r>
        <w:rPr>
          <w:b/>
          <w:bCs/>
        </w:rPr>
        <w:t>Virtual Meeting to be held via WebEx</w:t>
      </w:r>
    </w:p>
    <w:p w14:paraId="27CDB156" w14:textId="77777777" w:rsidR="00B26F6F" w:rsidRDefault="00B26F6F" w:rsidP="00B26F6F">
      <w:pPr>
        <w:shd w:val="clear" w:color="auto" w:fill="FFFFFF"/>
      </w:pPr>
      <w:r>
        <w:rPr>
          <w:color w:val="000000"/>
        </w:rPr>
        <w:t xml:space="preserve">Agenda: </w:t>
      </w:r>
    </w:p>
    <w:p w14:paraId="1919054A" w14:textId="77777777" w:rsidR="00B26F6F" w:rsidRDefault="00B26F6F" w:rsidP="00B26F6F">
      <w:pPr>
        <w:shd w:val="clear" w:color="auto" w:fill="FFFFFF"/>
      </w:pPr>
      <w:r>
        <w:rPr>
          <w:color w:val="000000"/>
        </w:rPr>
        <w:t>Administrative</w:t>
      </w:r>
    </w:p>
    <w:p w14:paraId="6FECA193" w14:textId="77777777" w:rsidR="00B26F6F" w:rsidRDefault="00B26F6F" w:rsidP="00B26F6F">
      <w:pPr>
        <w:pStyle w:val="ListParagraph"/>
        <w:numPr>
          <w:ilvl w:val="0"/>
          <w:numId w:val="1"/>
        </w:numPr>
        <w:shd w:val="clear" w:color="auto" w:fill="FFFFFF"/>
        <w:rPr>
          <w:rFonts w:eastAsia="Times New Roman"/>
          <w:sz w:val="22"/>
          <w:szCs w:val="22"/>
        </w:rPr>
      </w:pPr>
      <w:r>
        <w:rPr>
          <w:rFonts w:eastAsia="Times New Roman"/>
          <w:color w:val="000000"/>
          <w:sz w:val="22"/>
          <w:szCs w:val="22"/>
        </w:rPr>
        <w:t xml:space="preserve">Building electrification proposal not discussed on 3/16 CCCB call.  Vote passed to seek formal legal guidance and table the proposal. </w:t>
      </w:r>
    </w:p>
    <w:p w14:paraId="63FF7F5C" w14:textId="77777777" w:rsidR="00B26F6F" w:rsidRDefault="00B26F6F" w:rsidP="00B26F6F">
      <w:pPr>
        <w:pStyle w:val="ListParagraph"/>
        <w:numPr>
          <w:ilvl w:val="0"/>
          <w:numId w:val="1"/>
        </w:numPr>
        <w:shd w:val="clear" w:color="auto" w:fill="FFFFFF"/>
        <w:rPr>
          <w:rFonts w:eastAsia="Times New Roman"/>
          <w:sz w:val="22"/>
          <w:szCs w:val="22"/>
        </w:rPr>
      </w:pPr>
      <w:r>
        <w:rPr>
          <w:rFonts w:eastAsia="Times New Roman"/>
          <w:color w:val="000000"/>
          <w:sz w:val="22"/>
          <w:szCs w:val="22"/>
        </w:rPr>
        <w:t>Other related building decarb proposals held until then for efficiency.</w:t>
      </w:r>
    </w:p>
    <w:p w14:paraId="5BC5C91B" w14:textId="77777777" w:rsidR="00B26F6F" w:rsidRDefault="00B26F6F" w:rsidP="00B26F6F">
      <w:pPr>
        <w:pStyle w:val="ListParagraph"/>
        <w:numPr>
          <w:ilvl w:val="0"/>
          <w:numId w:val="1"/>
        </w:numPr>
        <w:shd w:val="clear" w:color="auto" w:fill="FFFFFF"/>
        <w:rPr>
          <w:rFonts w:eastAsia="Times New Roman"/>
          <w:sz w:val="22"/>
          <w:szCs w:val="22"/>
        </w:rPr>
      </w:pPr>
      <w:r>
        <w:rPr>
          <w:rFonts w:eastAsia="Times New Roman"/>
          <w:color w:val="000000"/>
          <w:sz w:val="22"/>
          <w:szCs w:val="22"/>
        </w:rPr>
        <w:t>Office of Open Government provided CCCB on 4/4/23 their guidance that building electrification should be eligible for reconsideration.  TBD if will be included on 4/20 CCCB agenda.</w:t>
      </w:r>
    </w:p>
    <w:p w14:paraId="4DC10519" w14:textId="77777777" w:rsidR="00B26F6F" w:rsidRDefault="00B26F6F" w:rsidP="00B26F6F">
      <w:pPr>
        <w:pStyle w:val="ListParagraph"/>
        <w:numPr>
          <w:ilvl w:val="0"/>
          <w:numId w:val="1"/>
        </w:numPr>
        <w:shd w:val="clear" w:color="auto" w:fill="FFFFFF"/>
        <w:rPr>
          <w:rFonts w:eastAsia="Times New Roman"/>
          <w:sz w:val="22"/>
          <w:szCs w:val="22"/>
        </w:rPr>
      </w:pPr>
      <w:r>
        <w:rPr>
          <w:rFonts w:eastAsia="Times New Roman"/>
          <w:color w:val="000000"/>
          <w:sz w:val="22"/>
          <w:szCs w:val="22"/>
        </w:rPr>
        <w:t>Mechanical TAG still has yet to review ECC-En-6-2-23 DOAS that was approved by TAG but referred to Mechanical.</w:t>
      </w:r>
    </w:p>
    <w:p w14:paraId="00ED6654" w14:textId="77777777" w:rsidR="00B26F6F" w:rsidRDefault="00B26F6F" w:rsidP="00B26F6F">
      <w:pPr>
        <w:pStyle w:val="ListParagraph"/>
        <w:numPr>
          <w:ilvl w:val="0"/>
          <w:numId w:val="1"/>
        </w:numPr>
        <w:shd w:val="clear" w:color="auto" w:fill="FFFFFF"/>
        <w:rPr>
          <w:rFonts w:eastAsia="Times New Roman"/>
          <w:sz w:val="22"/>
          <w:szCs w:val="22"/>
        </w:rPr>
      </w:pPr>
      <w:r>
        <w:rPr>
          <w:rFonts w:eastAsia="Times New Roman"/>
          <w:color w:val="000000"/>
          <w:sz w:val="22"/>
          <w:szCs w:val="22"/>
        </w:rPr>
        <w:t>Green code proposals will be introduced to CCCB on 4/20 - can be voted as early as next call.</w:t>
      </w:r>
    </w:p>
    <w:p w14:paraId="2E7B5A9E" w14:textId="77777777" w:rsidR="00B26F6F" w:rsidRDefault="00B26F6F" w:rsidP="00B26F6F">
      <w:pPr>
        <w:rPr>
          <w:b/>
          <w:bCs/>
        </w:rPr>
      </w:pPr>
    </w:p>
    <w:p w14:paraId="4D50186B" w14:textId="77777777" w:rsidR="00B26F6F" w:rsidRDefault="00B26F6F" w:rsidP="00B26F6F">
      <w:pPr>
        <w:rPr>
          <w:b/>
          <w:bCs/>
        </w:rPr>
      </w:pPr>
      <w:r>
        <w:rPr>
          <w:b/>
          <w:bCs/>
        </w:rPr>
        <w:t>Green Construction Code</w:t>
      </w:r>
    </w:p>
    <w:p w14:paraId="14C5AEFB" w14:textId="77777777" w:rsidR="00B26F6F" w:rsidRDefault="00B26F6F" w:rsidP="00B26F6F">
      <w:pPr>
        <w:pStyle w:val="ListParagraph"/>
        <w:numPr>
          <w:ilvl w:val="0"/>
          <w:numId w:val="1"/>
        </w:numPr>
        <w:rPr>
          <w:rFonts w:eastAsia="Times New Roman"/>
          <w:sz w:val="22"/>
          <w:szCs w:val="22"/>
        </w:rPr>
      </w:pPr>
      <w:r>
        <w:rPr>
          <w:rFonts w:eastAsia="Times New Roman"/>
          <w:sz w:val="22"/>
          <w:szCs w:val="22"/>
        </w:rPr>
        <w:t>All proposals unanimously approved by TAG on 2/9/23 and 3/9/23</w:t>
      </w:r>
    </w:p>
    <w:p w14:paraId="7ED696C4" w14:textId="77777777" w:rsidR="00B26F6F" w:rsidRDefault="00B26F6F" w:rsidP="00B26F6F">
      <w:pPr>
        <w:pStyle w:val="ListParagraph"/>
        <w:numPr>
          <w:ilvl w:val="0"/>
          <w:numId w:val="1"/>
        </w:numPr>
        <w:rPr>
          <w:rFonts w:eastAsia="Times New Roman"/>
          <w:b/>
          <w:bCs/>
          <w:sz w:val="22"/>
          <w:szCs w:val="22"/>
        </w:rPr>
      </w:pPr>
      <w:r>
        <w:rPr>
          <w:rFonts w:eastAsia="Times New Roman"/>
          <w:b/>
          <w:bCs/>
          <w:sz w:val="22"/>
          <w:szCs w:val="22"/>
        </w:rPr>
        <w:t>TAG still needs to craft Building Code, Chapter 1 section for Green Code</w:t>
      </w:r>
    </w:p>
    <w:p w14:paraId="0962D744" w14:textId="77777777" w:rsidR="00B26F6F" w:rsidRDefault="00B26F6F" w:rsidP="00B26F6F">
      <w:pPr>
        <w:pStyle w:val="ListParagraph"/>
        <w:numPr>
          <w:ilvl w:val="0"/>
          <w:numId w:val="1"/>
        </w:numPr>
        <w:rPr>
          <w:rFonts w:eastAsia="Times New Roman"/>
          <w:b/>
          <w:bCs/>
          <w:sz w:val="22"/>
          <w:szCs w:val="22"/>
        </w:rPr>
      </w:pPr>
      <w:r>
        <w:rPr>
          <w:rFonts w:eastAsia="Times New Roman"/>
          <w:b/>
          <w:bCs/>
          <w:sz w:val="22"/>
          <w:szCs w:val="22"/>
        </w:rPr>
        <w:t xml:space="preserve">CCCB Chair noted that TAG provided proposals to strike several </w:t>
      </w:r>
      <w:proofErr w:type="gramStart"/>
      <w:r>
        <w:rPr>
          <w:rFonts w:eastAsia="Times New Roman"/>
          <w:b/>
          <w:bCs/>
          <w:sz w:val="22"/>
          <w:szCs w:val="22"/>
        </w:rPr>
        <w:t>Appendices, but</w:t>
      </w:r>
      <w:proofErr w:type="gramEnd"/>
      <w:r>
        <w:rPr>
          <w:rFonts w:eastAsia="Times New Roman"/>
          <w:b/>
          <w:bCs/>
          <w:sz w:val="22"/>
          <w:szCs w:val="22"/>
        </w:rPr>
        <w:t xml:space="preserve"> may be unnecessary as we could simply opt not to adopt them instead.  </w:t>
      </w:r>
    </w:p>
    <w:p w14:paraId="2FE8FB22" w14:textId="77777777" w:rsidR="00B26F6F" w:rsidRDefault="00B26F6F" w:rsidP="00B26F6F">
      <w:pPr>
        <w:pStyle w:val="ListParagraph"/>
        <w:numPr>
          <w:ilvl w:val="1"/>
          <w:numId w:val="1"/>
        </w:numPr>
        <w:rPr>
          <w:rFonts w:eastAsia="Times New Roman"/>
          <w:b/>
          <w:bCs/>
          <w:sz w:val="22"/>
          <w:szCs w:val="22"/>
        </w:rPr>
      </w:pPr>
      <w:r>
        <w:rPr>
          <w:rFonts w:eastAsia="Times New Roman"/>
          <w:b/>
          <w:bCs/>
          <w:sz w:val="22"/>
          <w:szCs w:val="22"/>
        </w:rPr>
        <w:t>Does TAG have preference?</w:t>
      </w:r>
    </w:p>
    <w:p w14:paraId="17F7205F" w14:textId="77777777" w:rsidR="00B26F6F" w:rsidRDefault="00B26F6F" w:rsidP="00B26F6F"/>
    <w:p w14:paraId="7EA187E4" w14:textId="77777777" w:rsidR="00B26F6F" w:rsidRDefault="00B26F6F" w:rsidP="00B26F6F">
      <w:pPr>
        <w:rPr>
          <w:b/>
          <w:bCs/>
        </w:rPr>
      </w:pPr>
      <w:r>
        <w:rPr>
          <w:b/>
          <w:bCs/>
        </w:rPr>
        <w:t>Site-Energy BPFs</w:t>
      </w:r>
    </w:p>
    <w:p w14:paraId="15E73C8D" w14:textId="77777777" w:rsidR="00B26F6F" w:rsidRDefault="00B26F6F" w:rsidP="00B26F6F">
      <w:pPr>
        <w:pStyle w:val="ListParagraph"/>
        <w:numPr>
          <w:ilvl w:val="0"/>
          <w:numId w:val="1"/>
        </w:numPr>
        <w:rPr>
          <w:rFonts w:eastAsia="Times New Roman"/>
          <w:sz w:val="22"/>
          <w:szCs w:val="22"/>
        </w:rPr>
      </w:pPr>
      <w:r>
        <w:rPr>
          <w:rFonts w:eastAsia="Times New Roman"/>
          <w:sz w:val="22"/>
          <w:szCs w:val="22"/>
        </w:rPr>
        <w:t>BPFs – PNNL willing to help conduct modeling, but timing is not favorable.</w:t>
      </w:r>
    </w:p>
    <w:p w14:paraId="630AB77A" w14:textId="77777777" w:rsidR="00B26F6F" w:rsidRDefault="00B26F6F" w:rsidP="00B26F6F">
      <w:pPr>
        <w:pStyle w:val="ListParagraph"/>
        <w:numPr>
          <w:ilvl w:val="1"/>
          <w:numId w:val="1"/>
        </w:numPr>
        <w:rPr>
          <w:rFonts w:eastAsia="Times New Roman"/>
          <w:sz w:val="22"/>
          <w:szCs w:val="22"/>
        </w:rPr>
      </w:pPr>
      <w:r>
        <w:rPr>
          <w:rFonts w:eastAsia="Times New Roman"/>
          <w:sz w:val="22"/>
          <w:szCs w:val="22"/>
        </w:rPr>
        <w:t>DOAS and electrification are the biggest drivers of customized BPFs but haven’t been approved yet.  Hesitant to have PNNL model using those assumptions.</w:t>
      </w:r>
    </w:p>
    <w:p w14:paraId="2D2D9D63" w14:textId="77777777" w:rsidR="00B26F6F" w:rsidRDefault="00B26F6F" w:rsidP="00B26F6F">
      <w:pPr>
        <w:pStyle w:val="ListParagraph"/>
        <w:numPr>
          <w:ilvl w:val="1"/>
          <w:numId w:val="1"/>
        </w:numPr>
        <w:rPr>
          <w:rFonts w:eastAsia="Times New Roman"/>
          <w:sz w:val="22"/>
          <w:szCs w:val="22"/>
        </w:rPr>
      </w:pPr>
      <w:r>
        <w:rPr>
          <w:rFonts w:eastAsia="Times New Roman"/>
          <w:sz w:val="22"/>
          <w:szCs w:val="22"/>
        </w:rPr>
        <w:t>How important is it to use customized BPFs?</w:t>
      </w:r>
    </w:p>
    <w:p w14:paraId="49FB9F2E" w14:textId="77777777" w:rsidR="00B26F6F" w:rsidRDefault="00B26F6F" w:rsidP="00B26F6F">
      <w:pPr>
        <w:pStyle w:val="ListParagraph"/>
        <w:numPr>
          <w:ilvl w:val="1"/>
          <w:numId w:val="1"/>
        </w:numPr>
        <w:rPr>
          <w:rFonts w:eastAsia="Times New Roman"/>
          <w:sz w:val="22"/>
          <w:szCs w:val="22"/>
        </w:rPr>
      </w:pPr>
      <w:r>
        <w:rPr>
          <w:rFonts w:eastAsia="Times New Roman"/>
          <w:sz w:val="22"/>
          <w:szCs w:val="22"/>
        </w:rPr>
        <w:t>Possible scenarios for how to proceed:</w:t>
      </w:r>
    </w:p>
    <w:p w14:paraId="551674BC" w14:textId="77777777" w:rsidR="00B26F6F" w:rsidRDefault="00B26F6F" w:rsidP="00B26F6F">
      <w:pPr>
        <w:pStyle w:val="ListParagraph"/>
        <w:numPr>
          <w:ilvl w:val="2"/>
          <w:numId w:val="1"/>
        </w:numPr>
        <w:rPr>
          <w:rFonts w:eastAsia="Times New Roman"/>
          <w:sz w:val="22"/>
          <w:szCs w:val="22"/>
        </w:rPr>
      </w:pPr>
      <w:r>
        <w:rPr>
          <w:rFonts w:eastAsia="Times New Roman"/>
          <w:sz w:val="22"/>
          <w:szCs w:val="22"/>
        </w:rPr>
        <w:t>Put forward conservative, rough figures that assume building electrification and DOAS pass.  If those two don’t ultimately get approved, we can introduce slightly more lenient BPFs in the 2nd draft after public comment, likely the stock figures from ASHRAE 90.1-219 draft Addendum CH.</w:t>
      </w:r>
    </w:p>
    <w:p w14:paraId="59894602" w14:textId="77777777" w:rsidR="00B26F6F" w:rsidRDefault="00B26F6F" w:rsidP="00B26F6F">
      <w:pPr>
        <w:pStyle w:val="ListParagraph"/>
        <w:numPr>
          <w:ilvl w:val="2"/>
          <w:numId w:val="1"/>
        </w:numPr>
        <w:rPr>
          <w:rFonts w:eastAsia="Times New Roman"/>
          <w:sz w:val="22"/>
          <w:szCs w:val="22"/>
        </w:rPr>
      </w:pPr>
      <w:r>
        <w:rPr>
          <w:rFonts w:eastAsia="Times New Roman"/>
          <w:sz w:val="22"/>
          <w:szCs w:val="22"/>
        </w:rPr>
        <w:t>The other option would be to put forward the stock Addendum CH BPFs now to buy ourselves time to do the analysis once we know if the electrification and DOAS have passed.  The challenge there is making increases in stringency during the public comment process which can be challenging or unpalatable.</w:t>
      </w:r>
    </w:p>
    <w:p w14:paraId="024FA248" w14:textId="77777777" w:rsidR="00B26F6F" w:rsidRDefault="00B26F6F" w:rsidP="00B26F6F">
      <w:pPr>
        <w:rPr>
          <w:b/>
          <w:bCs/>
        </w:rPr>
      </w:pPr>
      <w:r>
        <w:rPr>
          <w:b/>
          <w:bCs/>
        </w:rPr>
        <w:t>Appendix Z</w:t>
      </w:r>
    </w:p>
    <w:p w14:paraId="441158AE" w14:textId="77777777" w:rsidR="00B26F6F" w:rsidRDefault="00B26F6F" w:rsidP="00B26F6F">
      <w:pPr>
        <w:pStyle w:val="ListParagraph"/>
        <w:numPr>
          <w:ilvl w:val="1"/>
          <w:numId w:val="1"/>
        </w:numPr>
        <w:rPr>
          <w:rFonts w:eastAsia="Times New Roman"/>
          <w:sz w:val="22"/>
          <w:szCs w:val="22"/>
        </w:rPr>
      </w:pPr>
      <w:r>
        <w:rPr>
          <w:rFonts w:eastAsia="Times New Roman"/>
          <w:sz w:val="22"/>
          <w:szCs w:val="22"/>
        </w:rPr>
        <w:t>How important is it to use further reduced BPFs for Appendix Z?</w:t>
      </w:r>
    </w:p>
    <w:p w14:paraId="6883F1B7" w14:textId="77777777" w:rsidR="00B26F6F" w:rsidRDefault="00B26F6F" w:rsidP="00B26F6F">
      <w:pPr>
        <w:pStyle w:val="ListParagraph"/>
        <w:numPr>
          <w:ilvl w:val="2"/>
          <w:numId w:val="1"/>
        </w:numPr>
        <w:rPr>
          <w:rFonts w:eastAsia="Times New Roman"/>
          <w:sz w:val="22"/>
          <w:szCs w:val="22"/>
        </w:rPr>
      </w:pPr>
      <w:r>
        <w:rPr>
          <w:rFonts w:eastAsia="Times New Roman"/>
          <w:sz w:val="22"/>
          <w:szCs w:val="22"/>
        </w:rPr>
        <w:t>Will soon be reaching maximum technical feasibility for code efficiency.  Appendix Z is important to then require renewable energy.  Going beyond base code may no longer be important, the way it was in 2020 code.</w:t>
      </w:r>
    </w:p>
    <w:p w14:paraId="28DCD68B" w14:textId="77777777" w:rsidR="00B26F6F" w:rsidRDefault="00B26F6F" w:rsidP="00B26F6F"/>
    <w:p w14:paraId="3B1F5CE7" w14:textId="77777777" w:rsidR="00B26F6F" w:rsidRDefault="00B26F6F" w:rsidP="00B26F6F">
      <w:pPr>
        <w:rPr>
          <w:b/>
          <w:bCs/>
        </w:rPr>
      </w:pPr>
      <w:r>
        <w:rPr>
          <w:b/>
          <w:bCs/>
        </w:rPr>
        <w:t>NBI 2017 amendments</w:t>
      </w:r>
    </w:p>
    <w:p w14:paraId="3D3BCB8E" w14:textId="77777777" w:rsidR="00B26F6F" w:rsidRDefault="00B26F6F" w:rsidP="00B26F6F">
      <w:pPr>
        <w:pStyle w:val="ListParagraph"/>
        <w:numPr>
          <w:ilvl w:val="0"/>
          <w:numId w:val="1"/>
        </w:numPr>
        <w:rPr>
          <w:rFonts w:eastAsia="Times New Roman"/>
          <w:sz w:val="22"/>
          <w:szCs w:val="22"/>
        </w:rPr>
      </w:pPr>
      <w:r>
        <w:rPr>
          <w:rFonts w:eastAsia="Times New Roman"/>
          <w:sz w:val="22"/>
          <w:szCs w:val="22"/>
        </w:rPr>
        <w:t>Review NBI notes regarding 2017 amendments and consider if any worth carrying forward to 2023 DC ECC-C</w:t>
      </w:r>
    </w:p>
    <w:p w14:paraId="39FCE4EC" w14:textId="77777777" w:rsidR="00B26F6F" w:rsidRDefault="00B26F6F" w:rsidP="00B26F6F">
      <w:pPr>
        <w:pStyle w:val="ListParagraph"/>
        <w:numPr>
          <w:ilvl w:val="0"/>
          <w:numId w:val="1"/>
        </w:numPr>
        <w:rPr>
          <w:rFonts w:eastAsia="Times New Roman"/>
          <w:sz w:val="22"/>
          <w:szCs w:val="22"/>
        </w:rPr>
      </w:pPr>
      <w:r>
        <w:rPr>
          <w:rFonts w:eastAsia="Times New Roman"/>
          <w:sz w:val="22"/>
          <w:szCs w:val="22"/>
        </w:rPr>
        <w:t>Caution that we have already passed significant strengthening amendments and anything additional will further delay finalizing the first draft.  Impact should be high.</w:t>
      </w:r>
    </w:p>
    <w:p w14:paraId="35E6FF83" w14:textId="77777777" w:rsidR="00B26F6F" w:rsidRDefault="00B26F6F" w:rsidP="00B26F6F"/>
    <w:p w14:paraId="79E50CE4" w14:textId="77777777" w:rsidR="00B26F6F" w:rsidRDefault="00B26F6F" w:rsidP="00B26F6F">
      <w:pPr>
        <w:rPr>
          <w:b/>
          <w:bCs/>
        </w:rPr>
      </w:pPr>
      <w:r>
        <w:rPr>
          <w:b/>
          <w:bCs/>
        </w:rPr>
        <w:t>SBP – Standby Ventilation</w:t>
      </w:r>
    </w:p>
    <w:p w14:paraId="632C91E5" w14:textId="77777777" w:rsidR="00B26F6F" w:rsidRDefault="00B26F6F" w:rsidP="00B26F6F">
      <w:pPr>
        <w:pStyle w:val="ListParagraph"/>
        <w:numPr>
          <w:ilvl w:val="0"/>
          <w:numId w:val="1"/>
        </w:numPr>
        <w:rPr>
          <w:rFonts w:eastAsia="Times New Roman"/>
          <w:sz w:val="22"/>
          <w:szCs w:val="22"/>
        </w:rPr>
      </w:pPr>
      <w:r>
        <w:rPr>
          <w:rFonts w:eastAsia="Times New Roman"/>
          <w:sz w:val="22"/>
          <w:szCs w:val="22"/>
        </w:rPr>
        <w:lastRenderedPageBreak/>
        <w:t>No guidance available from PNNL. Need to make determination by TAG.</w:t>
      </w:r>
    </w:p>
    <w:p w14:paraId="3FE5DCD3" w14:textId="77777777" w:rsidR="00B26F6F" w:rsidRDefault="00B26F6F" w:rsidP="00B26F6F">
      <w:pPr>
        <w:pStyle w:val="ListParagraph"/>
        <w:numPr>
          <w:ilvl w:val="0"/>
          <w:numId w:val="1"/>
        </w:numPr>
        <w:rPr>
          <w:rFonts w:eastAsia="Times New Roman"/>
          <w:sz w:val="22"/>
          <w:szCs w:val="22"/>
        </w:rPr>
      </w:pPr>
      <w:r>
        <w:rPr>
          <w:rFonts w:eastAsia="Times New Roman"/>
          <w:sz w:val="22"/>
          <w:szCs w:val="22"/>
        </w:rPr>
        <w:t>Caution that we have already passed significant strengthening amendments and anything additional will further delay finalizing the first draft.  Impact should be high.</w:t>
      </w:r>
    </w:p>
    <w:p w14:paraId="7055744C" w14:textId="77777777" w:rsidR="00B26F6F" w:rsidRDefault="00B26F6F" w:rsidP="00B26F6F"/>
    <w:p w14:paraId="195B8C29" w14:textId="77777777" w:rsidR="00B26F6F" w:rsidRDefault="00B26F6F" w:rsidP="00B26F6F"/>
    <w:p w14:paraId="681CC0CE" w14:textId="77777777" w:rsidR="00B26F6F" w:rsidRDefault="00B26F6F" w:rsidP="00B26F6F">
      <w:r>
        <w:t>Upcoming proposals, in order of consideration</w:t>
      </w:r>
    </w:p>
    <w:p w14:paraId="321D9CB7" w14:textId="77777777" w:rsidR="00B26F6F" w:rsidRDefault="00B26F6F" w:rsidP="00B26F6F">
      <w:pPr>
        <w:pStyle w:val="ListParagraph"/>
        <w:numPr>
          <w:ilvl w:val="0"/>
          <w:numId w:val="2"/>
        </w:numPr>
        <w:rPr>
          <w:rFonts w:eastAsia="Times New Roman"/>
          <w:sz w:val="22"/>
          <w:szCs w:val="22"/>
        </w:rPr>
      </w:pPr>
      <w:r>
        <w:rPr>
          <w:rFonts w:eastAsia="Times New Roman"/>
          <w:sz w:val="22"/>
          <w:szCs w:val="22"/>
        </w:rPr>
        <w:t>NBI – Site-Carbon BPFs</w:t>
      </w:r>
    </w:p>
    <w:p w14:paraId="3511F851" w14:textId="77777777" w:rsidR="00B26F6F" w:rsidRDefault="00B26F6F" w:rsidP="00B26F6F">
      <w:pPr>
        <w:pStyle w:val="ListParagraph"/>
        <w:numPr>
          <w:ilvl w:val="0"/>
          <w:numId w:val="2"/>
        </w:numPr>
        <w:rPr>
          <w:rFonts w:eastAsia="Times New Roman"/>
          <w:sz w:val="22"/>
          <w:szCs w:val="22"/>
        </w:rPr>
      </w:pPr>
      <w:r>
        <w:rPr>
          <w:rFonts w:eastAsia="Times New Roman"/>
          <w:sz w:val="22"/>
          <w:szCs w:val="22"/>
        </w:rPr>
        <w:t>Appendix Z</w:t>
      </w:r>
    </w:p>
    <w:p w14:paraId="0D6FFB1E" w14:textId="77777777" w:rsidR="00B26F6F" w:rsidRDefault="00B26F6F" w:rsidP="00B26F6F">
      <w:pPr>
        <w:pStyle w:val="ListParagraph"/>
        <w:numPr>
          <w:ilvl w:val="0"/>
          <w:numId w:val="2"/>
        </w:numPr>
        <w:rPr>
          <w:rFonts w:eastAsia="Times New Roman"/>
          <w:sz w:val="22"/>
          <w:szCs w:val="22"/>
        </w:rPr>
      </w:pPr>
      <w:r>
        <w:rPr>
          <w:rFonts w:eastAsia="Times New Roman"/>
          <w:sz w:val="22"/>
          <w:szCs w:val="22"/>
        </w:rPr>
        <w:t>SBP – Standby Ventilation</w:t>
      </w:r>
    </w:p>
    <w:p w14:paraId="1C017083" w14:textId="77777777" w:rsidR="00B26F6F" w:rsidRDefault="00B26F6F" w:rsidP="00B26F6F">
      <w:pPr>
        <w:pStyle w:val="ListParagraph"/>
        <w:numPr>
          <w:ilvl w:val="0"/>
          <w:numId w:val="2"/>
        </w:numPr>
        <w:rPr>
          <w:rFonts w:eastAsia="Times New Roman"/>
          <w:sz w:val="22"/>
          <w:szCs w:val="22"/>
        </w:rPr>
      </w:pPr>
      <w:r>
        <w:rPr>
          <w:rFonts w:eastAsia="Times New Roman"/>
          <w:sz w:val="22"/>
          <w:szCs w:val="22"/>
        </w:rPr>
        <w:t>SWA – assorted</w:t>
      </w:r>
    </w:p>
    <w:p w14:paraId="7E46176B" w14:textId="77777777" w:rsidR="00B26F6F" w:rsidRDefault="00B26F6F" w:rsidP="00B26F6F">
      <w:pPr>
        <w:pStyle w:val="ListParagraph"/>
        <w:numPr>
          <w:ilvl w:val="0"/>
          <w:numId w:val="2"/>
        </w:numPr>
        <w:rPr>
          <w:rFonts w:eastAsia="Times New Roman"/>
          <w:sz w:val="22"/>
          <w:szCs w:val="22"/>
        </w:rPr>
      </w:pPr>
      <w:r>
        <w:rPr>
          <w:rFonts w:eastAsia="Times New Roman"/>
          <w:sz w:val="22"/>
          <w:szCs w:val="22"/>
        </w:rPr>
        <w:t>NBI – 2017 amendments</w:t>
      </w:r>
    </w:p>
    <w:p w14:paraId="6B7390CA" w14:textId="77777777" w:rsidR="00A20477" w:rsidRDefault="00A20477"/>
    <w:sectPr w:rsidR="00A204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4172C"/>
    <w:multiLevelType w:val="hybridMultilevel"/>
    <w:tmpl w:val="C0D8BBFA"/>
    <w:lvl w:ilvl="0" w:tplc="9FF04A5A">
      <w:start w:val="2017"/>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9427223"/>
    <w:multiLevelType w:val="hybridMultilevel"/>
    <w:tmpl w:val="BFA82920"/>
    <w:lvl w:ilvl="0" w:tplc="F29C0F34">
      <w:start w:val="10"/>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981421456">
    <w:abstractNumId w:val="0"/>
    <w:lvlOverride w:ilvl="0"/>
    <w:lvlOverride w:ilvl="1"/>
    <w:lvlOverride w:ilvl="2"/>
    <w:lvlOverride w:ilvl="3"/>
    <w:lvlOverride w:ilvl="4"/>
    <w:lvlOverride w:ilvl="5"/>
    <w:lvlOverride w:ilvl="6"/>
    <w:lvlOverride w:ilvl="7"/>
    <w:lvlOverride w:ilvl="8"/>
  </w:num>
  <w:num w:numId="2" w16cid:durableId="18509797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F6F"/>
    <w:rsid w:val="00A20477"/>
    <w:rsid w:val="00B26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194B0"/>
  <w15:chartTrackingRefBased/>
  <w15:docId w15:val="{D4DD5B42-9C36-438F-9B8D-C0A1DCD9D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F6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F6F"/>
    <w:pPr>
      <w:ind w:left="720"/>
      <w:contextualSpacing/>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2542</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McGinnis, Lamont (DOB)</dc:creator>
  <cp:keywords/>
  <dc:description/>
  <cp:lastModifiedBy>McGinnis, Lamont (DOB)</cp:lastModifiedBy>
  <cp:revision>1</cp:revision>
  <dcterms:created xsi:type="dcterms:W3CDTF">2023-04-05T18:31:00Z</dcterms:created>
  <dcterms:modified xsi:type="dcterms:W3CDTF">2023-04-05T18:32:00Z</dcterms:modified>
</cp:coreProperties>
</file>