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2B" w:rsidRDefault="00C97F2B">
      <w:pPr>
        <w:spacing w:after="0" w:line="240" w:lineRule="auto"/>
        <w:rPr>
          <w:b/>
        </w:rPr>
      </w:pPr>
    </w:p>
    <w:p w:rsidR="00C97F2B" w:rsidRDefault="00C15E7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COMMISSION ON OUT OF SCHOOL TIME GRANTS AND YOUTH OUTCOMES</w:t>
      </w:r>
    </w:p>
    <w:p w:rsidR="00C97F2B" w:rsidRDefault="00C15E7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STRATEGIC PLAN </w:t>
      </w:r>
    </w:p>
    <w:p w:rsidR="00C97F2B" w:rsidRDefault="00C15E7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Adopted </w:t>
      </w:r>
      <w:r w:rsidR="00810D09">
        <w:rPr>
          <w:rFonts w:ascii="Arial" w:eastAsia="Arial" w:hAnsi="Arial" w:cs="Arial"/>
          <w:b/>
        </w:rPr>
        <w:t>September 6, 2018</w:t>
      </w:r>
    </w:p>
    <w:p w:rsidR="00C97F2B" w:rsidRDefault="00C97F2B">
      <w:pPr>
        <w:spacing w:after="0" w:line="240" w:lineRule="auto"/>
        <w:rPr>
          <w:rFonts w:ascii="Arial" w:eastAsia="Arial" w:hAnsi="Arial" w:cs="Arial"/>
          <w:b/>
        </w:rPr>
      </w:pPr>
    </w:p>
    <w:p w:rsidR="00C97F2B" w:rsidRDefault="00C15E7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About Learn24</w:t>
      </w:r>
    </w:p>
    <w:p w:rsidR="00C97F2B" w:rsidRDefault="00C15E7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Learn24 is a network of </w:t>
      </w:r>
      <w:r w:rsidR="0072513E">
        <w:rPr>
          <w:rFonts w:ascii="Arial" w:eastAsia="Arial" w:hAnsi="Arial" w:cs="Arial"/>
        </w:rPr>
        <w:t>before</w:t>
      </w:r>
      <w:r w:rsidR="0065342A">
        <w:rPr>
          <w:rFonts w:ascii="Arial" w:eastAsia="Arial" w:hAnsi="Arial" w:cs="Arial"/>
        </w:rPr>
        <w:t>—</w:t>
      </w:r>
      <w:r w:rsidR="0072513E"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</w:rPr>
        <w:t>after</w:t>
      </w:r>
      <w:r w:rsidR="0065342A">
        <w:rPr>
          <w:rFonts w:ascii="Arial" w:eastAsia="Arial" w:hAnsi="Arial" w:cs="Arial"/>
        </w:rPr>
        <w:t>—</w:t>
      </w:r>
      <w:r>
        <w:rPr>
          <w:rFonts w:ascii="Arial" w:eastAsia="Arial" w:hAnsi="Arial" w:cs="Arial"/>
        </w:rPr>
        <w:t xml:space="preserve">school and summer </w:t>
      </w:r>
      <w:r w:rsidR="00FC4775">
        <w:rPr>
          <w:rFonts w:ascii="Arial" w:eastAsia="Arial" w:hAnsi="Arial" w:cs="Arial"/>
        </w:rPr>
        <w:t>programs, also called out-of-school time</w:t>
      </w:r>
      <w:r w:rsidR="00E37B9D">
        <w:rPr>
          <w:rFonts w:ascii="Arial" w:eastAsia="Arial" w:hAnsi="Arial" w:cs="Arial"/>
        </w:rPr>
        <w:t xml:space="preserve"> (OST)</w:t>
      </w:r>
      <w:r w:rsidR="00FC4775">
        <w:rPr>
          <w:rFonts w:ascii="Arial" w:eastAsia="Arial" w:hAnsi="Arial" w:cs="Arial"/>
        </w:rPr>
        <w:t xml:space="preserve"> programs,</w:t>
      </w:r>
      <w:r>
        <w:rPr>
          <w:rFonts w:ascii="Arial" w:eastAsia="Arial" w:hAnsi="Arial" w:cs="Arial"/>
        </w:rPr>
        <w:t xml:space="preserve"> </w:t>
      </w:r>
      <w:r w:rsidR="00287FDC">
        <w:rPr>
          <w:rFonts w:ascii="Arial" w:eastAsia="Arial" w:hAnsi="Arial" w:cs="Arial"/>
        </w:rPr>
        <w:t xml:space="preserve">launched by Mayor Bowser in 2017 </w:t>
      </w:r>
      <w:r w:rsidRPr="00051E92">
        <w:rPr>
          <w:rFonts w:ascii="Arial" w:eastAsia="Arial" w:hAnsi="Arial" w:cs="Arial"/>
        </w:rPr>
        <w:t>to ensure</w:t>
      </w:r>
      <w:r w:rsidR="00B148EA" w:rsidRPr="00051E92">
        <w:rPr>
          <w:rFonts w:ascii="Arial" w:eastAsia="Arial" w:hAnsi="Arial" w:cs="Arial"/>
        </w:rPr>
        <w:t xml:space="preserve"> that</w:t>
      </w:r>
      <w:r w:rsidRPr="00051E92">
        <w:rPr>
          <w:rFonts w:ascii="Arial" w:eastAsia="Arial" w:hAnsi="Arial" w:cs="Arial"/>
        </w:rPr>
        <w:t xml:space="preserve"> youth in </w:t>
      </w:r>
      <w:r w:rsidR="0065342A">
        <w:rPr>
          <w:rFonts w:ascii="Arial" w:eastAsia="Arial" w:hAnsi="Arial" w:cs="Arial"/>
        </w:rPr>
        <w:t>Washington, DC</w:t>
      </w:r>
      <w:r w:rsidR="00EF18C8">
        <w:rPr>
          <w:rFonts w:ascii="Arial" w:eastAsia="Arial" w:hAnsi="Arial" w:cs="Arial"/>
        </w:rPr>
        <w:t xml:space="preserve"> </w:t>
      </w:r>
      <w:r w:rsidRPr="00051E92">
        <w:rPr>
          <w:rFonts w:ascii="Arial" w:eastAsia="Arial" w:hAnsi="Arial" w:cs="Arial"/>
        </w:rPr>
        <w:t>have access to quality educational and enrichment activities</w:t>
      </w:r>
      <w:r>
        <w:rPr>
          <w:rFonts w:ascii="Arial" w:eastAsia="Arial" w:hAnsi="Arial" w:cs="Arial"/>
        </w:rPr>
        <w:t xml:space="preserve"> beyond the school day.</w:t>
      </w:r>
    </w:p>
    <w:p w:rsidR="00C97F2B" w:rsidRDefault="00C97F2B">
      <w:pPr>
        <w:spacing w:after="0" w:line="240" w:lineRule="auto"/>
        <w:rPr>
          <w:rFonts w:ascii="Arial" w:eastAsia="Arial" w:hAnsi="Arial" w:cs="Arial"/>
        </w:rPr>
      </w:pPr>
    </w:p>
    <w:p w:rsidR="00C97F2B" w:rsidRDefault="00C15E7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decade of research indicates that youth</w:t>
      </w:r>
      <w:r w:rsidR="00EB0707">
        <w:rPr>
          <w:rStyle w:val="FootnoteReference"/>
          <w:rFonts w:ascii="Arial" w:eastAsia="Arial" w:hAnsi="Arial" w:cs="Arial"/>
        </w:rPr>
        <w:footnoteReference w:id="1"/>
      </w:r>
      <w:r>
        <w:rPr>
          <w:rFonts w:ascii="Arial" w:eastAsia="Arial" w:hAnsi="Arial" w:cs="Arial"/>
        </w:rPr>
        <w:t xml:space="preserve"> who regularly participate in quality </w:t>
      </w:r>
      <w:r w:rsidR="00FA2235">
        <w:rPr>
          <w:rFonts w:ascii="Arial" w:eastAsia="Arial" w:hAnsi="Arial" w:cs="Arial"/>
        </w:rPr>
        <w:t>OST</w:t>
      </w:r>
      <w:r>
        <w:rPr>
          <w:rFonts w:ascii="Arial" w:eastAsia="Arial" w:hAnsi="Arial" w:cs="Arial"/>
        </w:rPr>
        <w:t xml:space="preserve"> programs benefit in terms of their academic performance, social and emotional </w:t>
      </w:r>
      <w:r w:rsidR="00B148EA">
        <w:rPr>
          <w:rFonts w:ascii="Arial" w:eastAsia="Arial" w:hAnsi="Arial" w:cs="Arial"/>
        </w:rPr>
        <w:t>development</w:t>
      </w:r>
      <w:r>
        <w:rPr>
          <w:rFonts w:ascii="Arial" w:eastAsia="Arial" w:hAnsi="Arial" w:cs="Arial"/>
        </w:rPr>
        <w:t>, and health and wellness. In addition, youth participat</w:t>
      </w:r>
      <w:r w:rsidR="008864E9">
        <w:rPr>
          <w:rFonts w:ascii="Arial" w:eastAsia="Arial" w:hAnsi="Arial" w:cs="Arial"/>
        </w:rPr>
        <w:t>ion</w:t>
      </w:r>
      <w:r>
        <w:rPr>
          <w:rFonts w:ascii="Arial" w:eastAsia="Arial" w:hAnsi="Arial" w:cs="Arial"/>
        </w:rPr>
        <w:t xml:space="preserve"> in OST programs </w:t>
      </w:r>
      <w:r w:rsidR="00A33F17">
        <w:rPr>
          <w:rFonts w:ascii="Arial" w:eastAsia="Arial" w:hAnsi="Arial" w:cs="Arial"/>
        </w:rPr>
        <w:t>can result</w:t>
      </w:r>
      <w:r w:rsidR="008864E9">
        <w:rPr>
          <w:rFonts w:ascii="Arial" w:eastAsia="Arial" w:hAnsi="Arial" w:cs="Arial"/>
        </w:rPr>
        <w:t xml:space="preserve"> in</w:t>
      </w:r>
      <w:r w:rsidR="0033106D">
        <w:rPr>
          <w:rFonts w:ascii="Arial" w:eastAsia="Arial" w:hAnsi="Arial" w:cs="Arial"/>
        </w:rPr>
        <w:t>:</w:t>
      </w:r>
      <w:r w:rsidR="008864E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improved school attendance; higher graduation rates; lower dropout rates; stronger academic performance</w:t>
      </w:r>
      <w:r w:rsidR="008864E9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and improved positive behaviors and work habits.</w:t>
      </w:r>
    </w:p>
    <w:p w:rsidR="00C97F2B" w:rsidRDefault="00C97F2B">
      <w:pPr>
        <w:spacing w:after="0" w:line="240" w:lineRule="auto"/>
        <w:rPr>
          <w:rFonts w:ascii="Arial" w:eastAsia="Arial" w:hAnsi="Arial" w:cs="Arial"/>
        </w:rPr>
      </w:pPr>
    </w:p>
    <w:p w:rsidR="00C97F2B" w:rsidRDefault="00CE46C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Commission on Out of School Time Grants and Youth Outcomes </w:t>
      </w:r>
      <w:r w:rsidR="00FA2235">
        <w:rPr>
          <w:rFonts w:ascii="Arial" w:eastAsia="Arial" w:hAnsi="Arial" w:cs="Arial"/>
        </w:rPr>
        <w:t xml:space="preserve">(Commission) and the Office on Out of School Time Grants and Youth Outcomes (OST Office) </w:t>
      </w:r>
      <w:r w:rsidR="00C15E7F">
        <w:rPr>
          <w:rFonts w:ascii="Arial" w:eastAsia="Arial" w:hAnsi="Arial" w:cs="Arial"/>
        </w:rPr>
        <w:t>supports access to</w:t>
      </w:r>
      <w:r w:rsidR="0065342A">
        <w:rPr>
          <w:rFonts w:ascii="Arial" w:eastAsia="Arial" w:hAnsi="Arial" w:cs="Arial"/>
        </w:rPr>
        <w:t>,</w:t>
      </w:r>
      <w:r w:rsidR="00C15E7F">
        <w:rPr>
          <w:rFonts w:ascii="Arial" w:eastAsia="Arial" w:hAnsi="Arial" w:cs="Arial"/>
        </w:rPr>
        <w:t xml:space="preserve"> and cultivation</w:t>
      </w:r>
      <w:r w:rsidR="0065342A">
        <w:rPr>
          <w:rFonts w:ascii="Arial" w:eastAsia="Arial" w:hAnsi="Arial" w:cs="Arial"/>
        </w:rPr>
        <w:t>,</w:t>
      </w:r>
      <w:r w:rsidR="00C15E7F">
        <w:rPr>
          <w:rFonts w:ascii="Arial" w:eastAsia="Arial" w:hAnsi="Arial" w:cs="Arial"/>
        </w:rPr>
        <w:t xml:space="preserve"> of high</w:t>
      </w:r>
      <w:r w:rsidR="008864E9">
        <w:rPr>
          <w:rFonts w:ascii="Arial" w:eastAsia="Arial" w:hAnsi="Arial" w:cs="Arial"/>
        </w:rPr>
        <w:t>-</w:t>
      </w:r>
      <w:r w:rsidR="00C15E7F">
        <w:rPr>
          <w:rFonts w:ascii="Arial" w:eastAsia="Arial" w:hAnsi="Arial" w:cs="Arial"/>
        </w:rPr>
        <w:t>quality OST programs by:</w:t>
      </w:r>
    </w:p>
    <w:p w:rsidR="00C97F2B" w:rsidRDefault="00C15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Building the skills for adults who work with youth in OST programs through workshops and conferences organized by The I</w:t>
      </w:r>
      <w:r w:rsidR="00371AB4">
        <w:rPr>
          <w:rFonts w:ascii="Arial" w:eastAsia="Arial" w:hAnsi="Arial" w:cs="Arial"/>
          <w:color w:val="000000"/>
        </w:rPr>
        <w:t xml:space="preserve">nstitute </w:t>
      </w:r>
      <w:r w:rsidR="008864E9">
        <w:rPr>
          <w:rFonts w:ascii="Arial" w:eastAsia="Arial" w:hAnsi="Arial" w:cs="Arial"/>
          <w:color w:val="000000"/>
        </w:rPr>
        <w:t>for</w:t>
      </w:r>
      <w:r w:rsidR="00371AB4">
        <w:rPr>
          <w:rFonts w:ascii="Arial" w:eastAsia="Arial" w:hAnsi="Arial" w:cs="Arial"/>
          <w:color w:val="000000"/>
        </w:rPr>
        <w:t xml:space="preserve"> Youth Development</w:t>
      </w:r>
      <w:r w:rsidR="0065342A">
        <w:rPr>
          <w:rFonts w:ascii="Arial" w:eastAsia="Arial" w:hAnsi="Arial" w:cs="Arial"/>
          <w:color w:val="000000"/>
        </w:rPr>
        <w:t xml:space="preserve"> within the OST Office</w:t>
      </w:r>
      <w:r w:rsidR="00B148EA">
        <w:rPr>
          <w:rFonts w:ascii="Arial" w:eastAsia="Arial" w:hAnsi="Arial" w:cs="Arial"/>
          <w:color w:val="000000"/>
        </w:rPr>
        <w:t>;</w:t>
      </w:r>
    </w:p>
    <w:p w:rsidR="00C97F2B" w:rsidRDefault="00C15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Working directly with OST program leaders and staff through observation, assessment</w:t>
      </w:r>
      <w:r w:rsidR="0065342A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and coaching to improve pr</w:t>
      </w:r>
      <w:r w:rsidR="00371AB4">
        <w:rPr>
          <w:rFonts w:ascii="Arial" w:eastAsia="Arial" w:hAnsi="Arial" w:cs="Arial"/>
          <w:color w:val="000000"/>
        </w:rPr>
        <w:t>ogram design and implementation</w:t>
      </w:r>
      <w:r w:rsidR="00B148EA">
        <w:rPr>
          <w:rFonts w:ascii="Arial" w:eastAsia="Arial" w:hAnsi="Arial" w:cs="Arial"/>
          <w:color w:val="000000"/>
        </w:rPr>
        <w:t>;</w:t>
      </w:r>
    </w:p>
    <w:p w:rsidR="00C97F2B" w:rsidRDefault="00C15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Communicating the importance of quality to key stakeholders to increase accountability acro</w:t>
      </w:r>
      <w:r w:rsidR="00371AB4">
        <w:rPr>
          <w:rFonts w:ascii="Arial" w:eastAsia="Arial" w:hAnsi="Arial" w:cs="Arial"/>
          <w:color w:val="000000"/>
        </w:rPr>
        <w:t>ss the network of OST providers</w:t>
      </w:r>
      <w:r w:rsidR="00B148EA">
        <w:rPr>
          <w:rFonts w:ascii="Arial" w:eastAsia="Arial" w:hAnsi="Arial" w:cs="Arial"/>
          <w:color w:val="000000"/>
        </w:rPr>
        <w:t>;</w:t>
      </w:r>
    </w:p>
    <w:p w:rsidR="00C97F2B" w:rsidRDefault="00371A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Providing access to funding</w:t>
      </w:r>
      <w:r w:rsidR="00B148EA">
        <w:rPr>
          <w:rFonts w:ascii="Arial" w:eastAsia="Arial" w:hAnsi="Arial" w:cs="Arial"/>
          <w:color w:val="000000"/>
        </w:rPr>
        <w:t>; and</w:t>
      </w:r>
    </w:p>
    <w:p w:rsidR="00C97F2B" w:rsidRDefault="00C15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Measuring and reporting on outcomes for </w:t>
      </w:r>
      <w:r w:rsidR="00371AB4">
        <w:rPr>
          <w:rFonts w:ascii="Arial" w:eastAsia="Arial" w:hAnsi="Arial" w:cs="Arial"/>
          <w:color w:val="000000"/>
        </w:rPr>
        <w:t xml:space="preserve">youth </w:t>
      </w:r>
      <w:r w:rsidR="009E0FD8">
        <w:rPr>
          <w:rFonts w:ascii="Arial" w:eastAsia="Arial" w:hAnsi="Arial" w:cs="Arial"/>
          <w:color w:val="000000"/>
        </w:rPr>
        <w:t xml:space="preserve">who participate in programs </w:t>
      </w:r>
      <w:r w:rsidR="00371AB4">
        <w:rPr>
          <w:rFonts w:ascii="Arial" w:eastAsia="Arial" w:hAnsi="Arial" w:cs="Arial"/>
          <w:color w:val="000000"/>
        </w:rPr>
        <w:t xml:space="preserve">across </w:t>
      </w:r>
      <w:r w:rsidR="009E0FD8">
        <w:rPr>
          <w:rFonts w:ascii="Arial" w:eastAsia="Arial" w:hAnsi="Arial" w:cs="Arial"/>
          <w:color w:val="000000"/>
        </w:rPr>
        <w:t>Learn24</w:t>
      </w:r>
      <w:r w:rsidR="00B148EA">
        <w:rPr>
          <w:rFonts w:ascii="Arial" w:eastAsia="Arial" w:hAnsi="Arial" w:cs="Arial"/>
          <w:color w:val="000000"/>
        </w:rPr>
        <w:t>.</w:t>
      </w:r>
    </w:p>
    <w:p w:rsidR="00C97F2B" w:rsidRDefault="00C97F2B">
      <w:pPr>
        <w:spacing w:after="0" w:line="240" w:lineRule="auto"/>
        <w:rPr>
          <w:rFonts w:ascii="Arial" w:eastAsia="Arial" w:hAnsi="Arial" w:cs="Arial"/>
          <w:b/>
        </w:rPr>
      </w:pPr>
    </w:p>
    <w:p w:rsidR="00C97F2B" w:rsidRDefault="00C15E7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About the Commission</w:t>
      </w:r>
    </w:p>
    <w:p w:rsidR="00C97F2B" w:rsidRDefault="00FA223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631C7A">
        <w:rPr>
          <w:rFonts w:ascii="Arial" w:eastAsia="Arial" w:hAnsi="Arial" w:cs="Arial"/>
        </w:rPr>
        <w:t>Commission</w:t>
      </w:r>
      <w:r w:rsidR="00C15E7F">
        <w:rPr>
          <w:rFonts w:ascii="Arial" w:eastAsia="Arial" w:hAnsi="Arial" w:cs="Arial"/>
        </w:rPr>
        <w:t xml:space="preserve"> is a public body composed of </w:t>
      </w:r>
      <w:r w:rsidR="00B148EA">
        <w:rPr>
          <w:rFonts w:ascii="Arial" w:eastAsia="Arial" w:hAnsi="Arial" w:cs="Arial"/>
        </w:rPr>
        <w:t xml:space="preserve">engaged residents </w:t>
      </w:r>
      <w:r w:rsidR="00C15E7F">
        <w:rPr>
          <w:rFonts w:ascii="Arial" w:eastAsia="Arial" w:hAnsi="Arial" w:cs="Arial"/>
        </w:rPr>
        <w:t xml:space="preserve">and representatives from government agencies to support equitable access to high-quality </w:t>
      </w:r>
      <w:r w:rsidR="00B148EA">
        <w:rPr>
          <w:rFonts w:ascii="Arial" w:eastAsia="Arial" w:hAnsi="Arial" w:cs="Arial"/>
        </w:rPr>
        <w:t>OST</w:t>
      </w:r>
      <w:r w:rsidR="00C15E7F">
        <w:rPr>
          <w:rFonts w:ascii="Arial" w:eastAsia="Arial" w:hAnsi="Arial" w:cs="Arial"/>
        </w:rPr>
        <w:t xml:space="preserve"> programs for District of Columbia youth through coordination among government agencies, targeted grant-making, data collection and evaluation, and the provision of training, capacity building and technical assistance to OST providers. The Commission will provide resources and support to ensure a citywide system of high</w:t>
      </w:r>
      <w:r w:rsidR="00A32097">
        <w:rPr>
          <w:rFonts w:ascii="Arial" w:eastAsia="Arial" w:hAnsi="Arial" w:cs="Arial"/>
        </w:rPr>
        <w:t>-</w:t>
      </w:r>
      <w:r w:rsidR="00C15E7F">
        <w:rPr>
          <w:rFonts w:ascii="Arial" w:eastAsia="Arial" w:hAnsi="Arial" w:cs="Arial"/>
        </w:rPr>
        <w:t>quality OST programs.</w:t>
      </w:r>
    </w:p>
    <w:p w:rsidR="00C97F2B" w:rsidRDefault="00C97F2B">
      <w:pPr>
        <w:spacing w:after="0" w:line="240" w:lineRule="auto"/>
        <w:rPr>
          <w:rFonts w:ascii="Arial" w:eastAsia="Arial" w:hAnsi="Arial" w:cs="Arial"/>
        </w:rPr>
      </w:pPr>
    </w:p>
    <w:p w:rsidR="00C97F2B" w:rsidRDefault="00C15E7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Vision</w:t>
      </w:r>
    </w:p>
    <w:p w:rsidR="00C97F2B" w:rsidRDefault="00C15E7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youth across the District of Colu</w:t>
      </w:r>
      <w:r w:rsidR="00433694">
        <w:rPr>
          <w:rFonts w:ascii="Arial" w:eastAsia="Arial" w:hAnsi="Arial" w:cs="Arial"/>
        </w:rPr>
        <w:t>mbia have the skills, attitudes</w:t>
      </w:r>
      <w:r w:rsidR="0065342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knowledge necessary to achieve and thrive in school, the workplace</w:t>
      </w:r>
      <w:r w:rsidR="0065342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their communities. </w:t>
      </w:r>
    </w:p>
    <w:p w:rsidR="00C97F2B" w:rsidRDefault="00C97F2B">
      <w:pPr>
        <w:spacing w:after="0" w:line="240" w:lineRule="auto"/>
        <w:rPr>
          <w:rFonts w:ascii="Arial" w:eastAsia="Arial" w:hAnsi="Arial" w:cs="Arial"/>
        </w:rPr>
      </w:pPr>
    </w:p>
    <w:p w:rsidR="00C97F2B" w:rsidRDefault="00C15E7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Values </w:t>
      </w:r>
    </w:p>
    <w:p w:rsidR="00C97F2B" w:rsidRDefault="00C15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Youth Voice:</w:t>
      </w:r>
      <w:r>
        <w:rPr>
          <w:rFonts w:ascii="Arial" w:eastAsia="Arial" w:hAnsi="Arial" w:cs="Arial"/>
          <w:color w:val="000000"/>
        </w:rPr>
        <w:t xml:space="preserve"> </w:t>
      </w:r>
      <w:r w:rsidR="00EB0707"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</w:rPr>
        <w:t>outh contribute directly to decisions that impact their lives.</w:t>
      </w:r>
    </w:p>
    <w:p w:rsidR="00C97F2B" w:rsidRDefault="00C15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Equity:</w:t>
      </w:r>
      <w:r>
        <w:rPr>
          <w:rFonts w:ascii="Arial" w:eastAsia="Arial" w:hAnsi="Arial" w:cs="Arial"/>
          <w:color w:val="000000"/>
        </w:rPr>
        <w:t xml:space="preserve"> Decisions are made recognizing structural racism with a determined focus on dismantling those systems and achieving equitable outcomes for youth</w:t>
      </w:r>
      <w:r w:rsidR="00433694">
        <w:rPr>
          <w:rFonts w:ascii="Arial" w:eastAsia="Arial" w:hAnsi="Arial" w:cs="Arial"/>
          <w:color w:val="000000"/>
        </w:rPr>
        <w:t>.</w:t>
      </w:r>
    </w:p>
    <w:p w:rsidR="00C97F2B" w:rsidRDefault="00C15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Commitment to Learning:</w:t>
      </w:r>
      <w:r w:rsidR="00433694">
        <w:rPr>
          <w:rFonts w:ascii="Arial" w:eastAsia="Arial" w:hAnsi="Arial" w:cs="Arial"/>
          <w:color w:val="000000"/>
        </w:rPr>
        <w:t xml:space="preserve"> C</w:t>
      </w:r>
      <w:r>
        <w:rPr>
          <w:rFonts w:ascii="Arial" w:eastAsia="Arial" w:hAnsi="Arial" w:cs="Arial"/>
          <w:color w:val="000000"/>
        </w:rPr>
        <w:t>ontinuous improvement and learning leads to stronger</w:t>
      </w:r>
      <w:r w:rsidR="00B148EA">
        <w:rPr>
          <w:rFonts w:ascii="Arial" w:eastAsia="Arial" w:hAnsi="Arial" w:cs="Arial"/>
          <w:color w:val="000000"/>
        </w:rPr>
        <w:t xml:space="preserve"> and</w:t>
      </w:r>
      <w:r>
        <w:rPr>
          <w:rFonts w:ascii="Arial" w:eastAsia="Arial" w:hAnsi="Arial" w:cs="Arial"/>
          <w:color w:val="000000"/>
        </w:rPr>
        <w:t xml:space="preserve"> more effective systems, organizations</w:t>
      </w:r>
      <w:r w:rsidR="0065342A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and programs</w:t>
      </w:r>
      <w:r w:rsidR="00433694">
        <w:rPr>
          <w:rFonts w:ascii="Arial" w:eastAsia="Arial" w:hAnsi="Arial" w:cs="Arial"/>
          <w:color w:val="000000"/>
        </w:rPr>
        <w:t>.</w:t>
      </w:r>
    </w:p>
    <w:p w:rsidR="00C97F2B" w:rsidRDefault="00C15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Mutual Respect and Responsibilities:</w:t>
      </w:r>
      <w:r>
        <w:rPr>
          <w:rFonts w:ascii="Arial" w:eastAsia="Arial" w:hAnsi="Arial" w:cs="Arial"/>
          <w:color w:val="000000"/>
        </w:rPr>
        <w:t xml:space="preserve"> </w:t>
      </w:r>
      <w:r w:rsidR="00DD2ABD"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</w:rPr>
        <w:t>espect</w:t>
      </w:r>
      <w:r w:rsidR="00DD2ABD"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</w:rPr>
        <w:t xml:space="preserve"> the unique insights, resources</w:t>
      </w:r>
      <w:r w:rsidR="00B148EA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and contributions of all stakeholders </w:t>
      </w:r>
      <w:r w:rsidR="00DD2ABD">
        <w:rPr>
          <w:rFonts w:ascii="Arial" w:eastAsia="Arial" w:hAnsi="Arial" w:cs="Arial"/>
          <w:color w:val="000000"/>
        </w:rPr>
        <w:t xml:space="preserve">leads </w:t>
      </w:r>
      <w:r>
        <w:rPr>
          <w:rFonts w:ascii="Arial" w:eastAsia="Arial" w:hAnsi="Arial" w:cs="Arial"/>
          <w:color w:val="000000"/>
        </w:rPr>
        <w:t xml:space="preserve">to </w:t>
      </w:r>
      <w:r w:rsidR="00DD2ABD">
        <w:rPr>
          <w:rFonts w:ascii="Arial" w:eastAsia="Arial" w:hAnsi="Arial" w:cs="Arial"/>
          <w:color w:val="000000"/>
        </w:rPr>
        <w:t xml:space="preserve">the realization of </w:t>
      </w:r>
      <w:r w:rsidR="00F91893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collective vision</w:t>
      </w:r>
      <w:r w:rsidR="00433694">
        <w:rPr>
          <w:rFonts w:ascii="Arial" w:eastAsia="Arial" w:hAnsi="Arial" w:cs="Arial"/>
          <w:color w:val="000000"/>
        </w:rPr>
        <w:t>.</w:t>
      </w:r>
    </w:p>
    <w:p w:rsidR="00C97F2B" w:rsidRDefault="00C97F2B">
      <w:pPr>
        <w:spacing w:after="0" w:line="240" w:lineRule="auto"/>
        <w:rPr>
          <w:rFonts w:ascii="Arial" w:eastAsia="Arial" w:hAnsi="Arial" w:cs="Arial"/>
        </w:rPr>
      </w:pPr>
    </w:p>
    <w:p w:rsidR="00C97F2B" w:rsidRDefault="00C15E7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Key Finding</w:t>
      </w:r>
      <w:r w:rsidR="00C83E1D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</w:t>
      </w:r>
      <w:r w:rsidR="00B148EA">
        <w:rPr>
          <w:rFonts w:ascii="Arial" w:eastAsia="Arial" w:hAnsi="Arial" w:cs="Arial"/>
          <w:b/>
        </w:rPr>
        <w:t xml:space="preserve">from 2017 </w:t>
      </w:r>
      <w:r>
        <w:rPr>
          <w:rFonts w:ascii="Arial" w:eastAsia="Arial" w:hAnsi="Arial" w:cs="Arial"/>
          <w:b/>
        </w:rPr>
        <w:t>OST Needs Assessment</w:t>
      </w:r>
    </w:p>
    <w:p w:rsidR="00C97F2B" w:rsidRDefault="00C15E7F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Arial" w:eastAsia="Arial" w:hAnsi="Arial" w:cs="Arial"/>
          <w:b/>
        </w:rPr>
        <w:t>Afterschool capacity</w:t>
      </w:r>
    </w:p>
    <w:p w:rsidR="00C97F2B" w:rsidRDefault="00C15E7F">
      <w:pPr>
        <w:numPr>
          <w:ilvl w:val="1"/>
          <w:numId w:val="1"/>
        </w:numPr>
        <w:spacing w:after="0" w:line="240" w:lineRule="auto"/>
      </w:pPr>
      <w:r>
        <w:rPr>
          <w:rFonts w:ascii="Arial" w:eastAsia="Arial" w:hAnsi="Arial" w:cs="Arial"/>
        </w:rPr>
        <w:t xml:space="preserve">33,400 youth attend regular afterschool programming in </w:t>
      </w:r>
      <w:r w:rsidR="0065342A">
        <w:rPr>
          <w:rFonts w:ascii="Arial" w:eastAsia="Arial" w:hAnsi="Arial" w:cs="Arial"/>
        </w:rPr>
        <w:t>Washington, DC</w:t>
      </w:r>
    </w:p>
    <w:p w:rsidR="00C97F2B" w:rsidRDefault="00EB2E91">
      <w:pPr>
        <w:numPr>
          <w:ilvl w:val="1"/>
          <w:numId w:val="1"/>
        </w:numPr>
        <w:spacing w:after="0" w:line="240" w:lineRule="auto"/>
      </w:pPr>
      <w:r>
        <w:rPr>
          <w:rFonts w:ascii="Arial" w:eastAsia="Arial" w:hAnsi="Arial" w:cs="Arial"/>
        </w:rPr>
        <w:t xml:space="preserve">This total includes </w:t>
      </w:r>
      <w:r w:rsidR="00C15E7F">
        <w:rPr>
          <w:rFonts w:ascii="Arial" w:eastAsia="Arial" w:hAnsi="Arial" w:cs="Arial"/>
        </w:rPr>
        <w:t xml:space="preserve">28,700 </w:t>
      </w:r>
      <w:r w:rsidR="005277A0">
        <w:rPr>
          <w:rFonts w:ascii="Arial" w:eastAsia="Arial" w:hAnsi="Arial" w:cs="Arial"/>
        </w:rPr>
        <w:t xml:space="preserve">youth </w:t>
      </w:r>
      <w:r w:rsidR="00C15E7F">
        <w:rPr>
          <w:rFonts w:ascii="Arial" w:eastAsia="Arial" w:hAnsi="Arial" w:cs="Arial"/>
        </w:rPr>
        <w:t xml:space="preserve">in pre-K to 8th grade and 4,700 </w:t>
      </w:r>
      <w:r w:rsidR="005277A0">
        <w:rPr>
          <w:rFonts w:ascii="Arial" w:eastAsia="Arial" w:hAnsi="Arial" w:cs="Arial"/>
        </w:rPr>
        <w:t xml:space="preserve">youth </w:t>
      </w:r>
      <w:r w:rsidR="00C15E7F">
        <w:rPr>
          <w:rFonts w:ascii="Arial" w:eastAsia="Arial" w:hAnsi="Arial" w:cs="Arial"/>
        </w:rPr>
        <w:t>in grades 9</w:t>
      </w:r>
      <w:r w:rsidR="00B148EA">
        <w:rPr>
          <w:rFonts w:ascii="Arial" w:eastAsia="Arial" w:hAnsi="Arial" w:cs="Arial"/>
        </w:rPr>
        <w:t xml:space="preserve"> to </w:t>
      </w:r>
      <w:r w:rsidR="00C15E7F">
        <w:rPr>
          <w:rFonts w:ascii="Arial" w:eastAsia="Arial" w:hAnsi="Arial" w:cs="Arial"/>
        </w:rPr>
        <w:t>12</w:t>
      </w:r>
    </w:p>
    <w:p w:rsidR="00C97F2B" w:rsidRDefault="00C15E7F">
      <w:pPr>
        <w:numPr>
          <w:ilvl w:val="1"/>
          <w:numId w:val="1"/>
        </w:numPr>
        <w:spacing w:after="0" w:line="240" w:lineRule="auto"/>
      </w:pPr>
      <w:r>
        <w:rPr>
          <w:rFonts w:ascii="Arial" w:eastAsia="Arial" w:hAnsi="Arial" w:cs="Arial"/>
        </w:rPr>
        <w:t>Main providers are schools and community-based organizations (CBOs)</w:t>
      </w:r>
    </w:p>
    <w:p w:rsidR="00C97F2B" w:rsidRDefault="00C15E7F">
      <w:pPr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</w:rPr>
        <w:t>Summer school capacity</w:t>
      </w:r>
    </w:p>
    <w:p w:rsidR="00C97F2B" w:rsidRDefault="00C15E7F">
      <w:pPr>
        <w:numPr>
          <w:ilvl w:val="1"/>
          <w:numId w:val="1"/>
        </w:numPr>
        <w:spacing w:after="0" w:line="240" w:lineRule="auto"/>
      </w:pPr>
      <w:r>
        <w:rPr>
          <w:rFonts w:ascii="Arial" w:eastAsia="Arial" w:hAnsi="Arial" w:cs="Arial"/>
        </w:rPr>
        <w:t xml:space="preserve">15,000 youth from pre-K to 12th grade participate in summer programs in </w:t>
      </w:r>
      <w:r w:rsidR="0065342A">
        <w:rPr>
          <w:rFonts w:ascii="Arial" w:eastAsia="Arial" w:hAnsi="Arial" w:cs="Arial"/>
        </w:rPr>
        <w:t>Washington, DC</w:t>
      </w:r>
    </w:p>
    <w:p w:rsidR="00C97F2B" w:rsidRDefault="000A684D">
      <w:pPr>
        <w:numPr>
          <w:ilvl w:val="1"/>
          <w:numId w:val="1"/>
        </w:numPr>
        <w:spacing w:after="0" w:line="240" w:lineRule="auto"/>
      </w:pPr>
      <w:r>
        <w:rPr>
          <w:rFonts w:ascii="Arial" w:eastAsia="Arial" w:hAnsi="Arial" w:cs="Arial"/>
        </w:rPr>
        <w:t>This total i</w:t>
      </w:r>
      <w:r w:rsidR="00C15E7F">
        <w:rPr>
          <w:rFonts w:ascii="Arial" w:eastAsia="Arial" w:hAnsi="Arial" w:cs="Arial"/>
        </w:rPr>
        <w:t xml:space="preserve">ncludes 4,700 entering pre-K3 to 8th grade, and 10,800 in grades 9 </w:t>
      </w:r>
      <w:r w:rsidR="00B148EA">
        <w:rPr>
          <w:rFonts w:ascii="Arial" w:eastAsia="Arial" w:hAnsi="Arial" w:cs="Arial"/>
        </w:rPr>
        <w:t xml:space="preserve">to </w:t>
      </w:r>
      <w:r w:rsidR="00C15E7F">
        <w:rPr>
          <w:rFonts w:ascii="Arial" w:eastAsia="Arial" w:hAnsi="Arial" w:cs="Arial"/>
        </w:rPr>
        <w:t xml:space="preserve">12 </w:t>
      </w:r>
    </w:p>
    <w:p w:rsidR="00C97F2B" w:rsidRDefault="00532A0E">
      <w:pPr>
        <w:numPr>
          <w:ilvl w:val="1"/>
          <w:numId w:val="1"/>
        </w:numPr>
        <w:spacing w:after="0" w:line="240" w:lineRule="auto"/>
      </w:pPr>
      <w:r>
        <w:rPr>
          <w:rFonts w:ascii="Arial" w:eastAsia="Arial" w:hAnsi="Arial" w:cs="Arial"/>
        </w:rPr>
        <w:t>Excluding</w:t>
      </w:r>
      <w:r w:rsidR="00C15E7F">
        <w:rPr>
          <w:rFonts w:ascii="Arial" w:eastAsia="Arial" w:hAnsi="Arial" w:cs="Arial"/>
        </w:rPr>
        <w:t xml:space="preserve"> </w:t>
      </w:r>
      <w:r w:rsidR="00F91893">
        <w:rPr>
          <w:rFonts w:ascii="Arial" w:eastAsia="Arial" w:hAnsi="Arial" w:cs="Arial"/>
        </w:rPr>
        <w:t xml:space="preserve">Marion </w:t>
      </w:r>
      <w:r w:rsidR="00EB5B04">
        <w:rPr>
          <w:rFonts w:ascii="Arial" w:eastAsia="Arial" w:hAnsi="Arial" w:cs="Arial"/>
        </w:rPr>
        <w:t xml:space="preserve">S. </w:t>
      </w:r>
      <w:r w:rsidR="00F91893">
        <w:rPr>
          <w:rFonts w:ascii="Arial" w:eastAsia="Arial" w:hAnsi="Arial" w:cs="Arial"/>
        </w:rPr>
        <w:t xml:space="preserve">Barry Summer Youth Employment Program </w:t>
      </w:r>
      <w:r w:rsidR="00C15E7F">
        <w:rPr>
          <w:rFonts w:ascii="Arial" w:eastAsia="Arial" w:hAnsi="Arial" w:cs="Arial"/>
        </w:rPr>
        <w:t>participants, the number of summer program participants in grades 9 through 12 was less than 2,800</w:t>
      </w:r>
    </w:p>
    <w:p w:rsidR="00C97F2B" w:rsidRDefault="00C97F2B">
      <w:pPr>
        <w:spacing w:after="0" w:line="240" w:lineRule="auto"/>
        <w:rPr>
          <w:rFonts w:ascii="Arial" w:eastAsia="Arial" w:hAnsi="Arial" w:cs="Arial"/>
          <w:b/>
        </w:rPr>
      </w:pPr>
    </w:p>
    <w:p w:rsidR="00C97F2B" w:rsidRDefault="00C15E7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Estimated Gap in OST </w:t>
      </w:r>
      <w:r w:rsidR="00DB03A0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rogram Capacity under four policy goals</w:t>
      </w:r>
    </w:p>
    <w:tbl>
      <w:tblPr>
        <w:tblStyle w:val="TableGrid"/>
        <w:tblW w:w="7236" w:type="dxa"/>
        <w:tblInd w:w="108" w:type="dxa"/>
        <w:tblLook w:val="04A0" w:firstRow="1" w:lastRow="0" w:firstColumn="1" w:lastColumn="0" w:noHBand="0" w:noVBand="1"/>
      </w:tblPr>
      <w:tblGrid>
        <w:gridCol w:w="2340"/>
        <w:gridCol w:w="1224"/>
        <w:gridCol w:w="1224"/>
        <w:gridCol w:w="1224"/>
        <w:gridCol w:w="1224"/>
      </w:tblGrid>
      <w:tr w:rsidR="008E79BF" w:rsidTr="0032077A">
        <w:trPr>
          <w:trHeight w:val="288"/>
        </w:trPr>
        <w:tc>
          <w:tcPr>
            <w:tcW w:w="2340" w:type="dxa"/>
            <w:vMerge w:val="restart"/>
            <w:vAlign w:val="bottom"/>
          </w:tcPr>
          <w:p w:rsidR="008E79BF" w:rsidRPr="008E79BF" w:rsidRDefault="008E79BF" w:rsidP="008E79BF">
            <w:pPr>
              <w:ind w:right="72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E79BF">
              <w:rPr>
                <w:rFonts w:ascii="Arial" w:eastAsia="Arial" w:hAnsi="Arial" w:cs="Arial"/>
                <w:b/>
                <w:sz w:val="18"/>
                <w:szCs w:val="20"/>
              </w:rPr>
              <w:t>Goal</w:t>
            </w:r>
          </w:p>
        </w:tc>
        <w:tc>
          <w:tcPr>
            <w:tcW w:w="2448" w:type="dxa"/>
            <w:gridSpan w:val="2"/>
            <w:shd w:val="clear" w:color="auto" w:fill="95B3D7" w:themeFill="accent1" w:themeFillTint="99"/>
            <w:vAlign w:val="center"/>
          </w:tcPr>
          <w:p w:rsidR="008E79BF" w:rsidRPr="008E79BF" w:rsidRDefault="008E79BF" w:rsidP="00A71BE5">
            <w:pPr>
              <w:ind w:right="72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Afterschool</w:t>
            </w:r>
          </w:p>
        </w:tc>
        <w:tc>
          <w:tcPr>
            <w:tcW w:w="2448" w:type="dxa"/>
            <w:gridSpan w:val="2"/>
            <w:shd w:val="clear" w:color="auto" w:fill="DBE5F1" w:themeFill="accent1" w:themeFillTint="33"/>
            <w:vAlign w:val="center"/>
          </w:tcPr>
          <w:p w:rsidR="008E79BF" w:rsidRPr="008E79BF" w:rsidRDefault="008E79BF" w:rsidP="00A71BE5">
            <w:pPr>
              <w:ind w:right="72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Summer</w:t>
            </w:r>
          </w:p>
        </w:tc>
      </w:tr>
      <w:tr w:rsidR="008E79BF" w:rsidTr="00967130">
        <w:tc>
          <w:tcPr>
            <w:tcW w:w="2340" w:type="dxa"/>
            <w:vMerge/>
          </w:tcPr>
          <w:p w:rsidR="008E79BF" w:rsidRPr="008E79BF" w:rsidRDefault="008E79BF" w:rsidP="008E79BF">
            <w:pPr>
              <w:ind w:right="72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  <w:tc>
          <w:tcPr>
            <w:tcW w:w="1224" w:type="dxa"/>
          </w:tcPr>
          <w:p w:rsidR="008E79BF" w:rsidRPr="008E79BF" w:rsidRDefault="008E79BF" w:rsidP="008E79BF">
            <w:pPr>
              <w:ind w:right="72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E79BF">
              <w:rPr>
                <w:rFonts w:ascii="Arial" w:eastAsia="Arial" w:hAnsi="Arial" w:cs="Arial"/>
                <w:b/>
                <w:sz w:val="18"/>
                <w:szCs w:val="20"/>
              </w:rPr>
              <w:t>Pre-K3 to grade 8</w:t>
            </w:r>
          </w:p>
        </w:tc>
        <w:tc>
          <w:tcPr>
            <w:tcW w:w="1224" w:type="dxa"/>
          </w:tcPr>
          <w:p w:rsidR="008E79BF" w:rsidRPr="008E79BF" w:rsidRDefault="008E79BF" w:rsidP="008E79BF">
            <w:pPr>
              <w:ind w:right="72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E79BF">
              <w:rPr>
                <w:rFonts w:ascii="Arial" w:eastAsia="Arial" w:hAnsi="Arial" w:cs="Arial"/>
                <w:b/>
                <w:sz w:val="18"/>
                <w:szCs w:val="20"/>
              </w:rPr>
              <w:t>Grades 9 to 12</w:t>
            </w:r>
          </w:p>
        </w:tc>
        <w:tc>
          <w:tcPr>
            <w:tcW w:w="1224" w:type="dxa"/>
          </w:tcPr>
          <w:p w:rsidR="008E79BF" w:rsidRPr="008E79BF" w:rsidRDefault="008E79BF" w:rsidP="008E79BF">
            <w:pPr>
              <w:ind w:right="72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E79BF">
              <w:rPr>
                <w:rFonts w:ascii="Arial" w:eastAsia="Arial" w:hAnsi="Arial" w:cs="Arial"/>
                <w:b/>
                <w:sz w:val="18"/>
                <w:szCs w:val="20"/>
              </w:rPr>
              <w:t>Pre-K3 to grade 8</w:t>
            </w:r>
          </w:p>
        </w:tc>
        <w:tc>
          <w:tcPr>
            <w:tcW w:w="1224" w:type="dxa"/>
          </w:tcPr>
          <w:p w:rsidR="008E79BF" w:rsidRPr="008E79BF" w:rsidRDefault="008E79BF" w:rsidP="008E79BF">
            <w:pPr>
              <w:ind w:right="72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E79BF">
              <w:rPr>
                <w:rFonts w:ascii="Arial" w:eastAsia="Arial" w:hAnsi="Arial" w:cs="Arial"/>
                <w:b/>
                <w:sz w:val="18"/>
                <w:szCs w:val="20"/>
              </w:rPr>
              <w:t>Grades 9 to 12</w:t>
            </w:r>
          </w:p>
        </w:tc>
      </w:tr>
      <w:tr w:rsidR="008E79BF" w:rsidTr="00967130">
        <w:tc>
          <w:tcPr>
            <w:tcW w:w="2340" w:type="dxa"/>
          </w:tcPr>
          <w:p w:rsidR="008E79BF" w:rsidRPr="008E79BF" w:rsidRDefault="008E79BF" w:rsidP="008E79BF">
            <w:pPr>
              <w:ind w:right="72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E79BF">
              <w:rPr>
                <w:rFonts w:ascii="Arial" w:eastAsia="Arial" w:hAnsi="Arial" w:cs="Arial"/>
                <w:b/>
                <w:sz w:val="18"/>
                <w:szCs w:val="20"/>
              </w:rPr>
              <w:t>Universal coverage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-37,600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-12,400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-61,600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-6,300</w:t>
            </w:r>
          </w:p>
        </w:tc>
      </w:tr>
      <w:tr w:rsidR="008E79BF" w:rsidTr="00967130">
        <w:tc>
          <w:tcPr>
            <w:tcW w:w="2340" w:type="dxa"/>
          </w:tcPr>
          <w:p w:rsidR="008E79BF" w:rsidRPr="008E79BF" w:rsidRDefault="008E79BF" w:rsidP="008E79BF">
            <w:pPr>
              <w:ind w:right="72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E79BF">
              <w:rPr>
                <w:rFonts w:ascii="Arial" w:eastAsia="Arial" w:hAnsi="Arial" w:cs="Arial"/>
                <w:b/>
                <w:sz w:val="18"/>
                <w:szCs w:val="20"/>
              </w:rPr>
              <w:t>130 percent poverty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-11,400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-5,600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-35,500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sz w:val="18"/>
                <w:szCs w:val="20"/>
              </w:rPr>
              <w:t>400</w:t>
            </w:r>
          </w:p>
        </w:tc>
      </w:tr>
      <w:tr w:rsidR="008E79BF" w:rsidTr="00967130">
        <w:tc>
          <w:tcPr>
            <w:tcW w:w="2340" w:type="dxa"/>
          </w:tcPr>
          <w:p w:rsidR="008E79BF" w:rsidRPr="008E79BF" w:rsidRDefault="008E79BF" w:rsidP="008E79BF">
            <w:pPr>
              <w:ind w:right="72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E79BF">
              <w:rPr>
                <w:rFonts w:ascii="Arial" w:eastAsia="Arial" w:hAnsi="Arial" w:cs="Arial"/>
                <w:b/>
                <w:sz w:val="18"/>
                <w:szCs w:val="20"/>
              </w:rPr>
              <w:t>“At risk” status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-1,600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-4,300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-25,600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sz w:val="18"/>
                <w:szCs w:val="20"/>
              </w:rPr>
              <w:t>1,700</w:t>
            </w:r>
          </w:p>
        </w:tc>
      </w:tr>
      <w:tr w:rsidR="008E79BF" w:rsidTr="00967130">
        <w:tc>
          <w:tcPr>
            <w:tcW w:w="2340" w:type="dxa"/>
          </w:tcPr>
          <w:p w:rsidR="008E79BF" w:rsidRPr="008E79BF" w:rsidRDefault="008E79BF" w:rsidP="008E79BF">
            <w:pPr>
              <w:ind w:right="72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E79BF">
              <w:rPr>
                <w:rFonts w:ascii="Arial" w:eastAsia="Arial" w:hAnsi="Arial" w:cs="Arial"/>
                <w:b/>
                <w:sz w:val="18"/>
                <w:szCs w:val="20"/>
              </w:rPr>
              <w:t>100 percent poverty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sz w:val="18"/>
                <w:szCs w:val="20"/>
              </w:rPr>
              <w:t>11,900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sz w:val="18"/>
                <w:szCs w:val="20"/>
              </w:rPr>
              <w:t>600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color w:val="FF0000"/>
                <w:sz w:val="18"/>
                <w:szCs w:val="20"/>
              </w:rPr>
              <w:t>-12,200</w:t>
            </w:r>
          </w:p>
        </w:tc>
        <w:tc>
          <w:tcPr>
            <w:tcW w:w="1224" w:type="dxa"/>
          </w:tcPr>
          <w:p w:rsidR="008E79BF" w:rsidRPr="00967130" w:rsidRDefault="00A71BE5" w:rsidP="00A71BE5">
            <w:pPr>
              <w:ind w:right="72"/>
              <w:jc w:val="right"/>
              <w:rPr>
                <w:rFonts w:ascii="Arial" w:eastAsia="Arial" w:hAnsi="Arial" w:cs="Arial"/>
                <w:sz w:val="18"/>
                <w:szCs w:val="20"/>
              </w:rPr>
            </w:pPr>
            <w:r w:rsidRPr="00967130">
              <w:rPr>
                <w:rFonts w:ascii="Arial" w:eastAsia="Arial" w:hAnsi="Arial" w:cs="Arial"/>
                <w:sz w:val="18"/>
                <w:szCs w:val="20"/>
              </w:rPr>
              <w:t>6,700</w:t>
            </w:r>
          </w:p>
        </w:tc>
      </w:tr>
    </w:tbl>
    <w:p w:rsidR="008B3A56" w:rsidRPr="00FA2235" w:rsidRDefault="0032077A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FA2235">
        <w:rPr>
          <w:rFonts w:ascii="Arial" w:eastAsia="Arial" w:hAnsi="Arial" w:cs="Arial"/>
          <w:sz w:val="16"/>
          <w:szCs w:val="16"/>
        </w:rPr>
        <w:t xml:space="preserve">Source: Taylor, </w:t>
      </w:r>
      <w:proofErr w:type="spellStart"/>
      <w:r w:rsidRPr="00FA2235">
        <w:rPr>
          <w:rFonts w:ascii="Arial" w:eastAsia="Arial" w:hAnsi="Arial" w:cs="Arial"/>
          <w:sz w:val="16"/>
          <w:szCs w:val="16"/>
        </w:rPr>
        <w:t>Yasim</w:t>
      </w:r>
      <w:proofErr w:type="spellEnd"/>
      <w:r w:rsidRPr="00FA2235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FA2235">
        <w:rPr>
          <w:rFonts w:ascii="Arial" w:eastAsia="Arial" w:hAnsi="Arial" w:cs="Arial"/>
          <w:sz w:val="16"/>
          <w:szCs w:val="16"/>
        </w:rPr>
        <w:t>Sayen</w:t>
      </w:r>
      <w:proofErr w:type="spellEnd"/>
      <w:r w:rsidRPr="00FA2235">
        <w:rPr>
          <w:rFonts w:ascii="Arial" w:eastAsia="Arial" w:hAnsi="Arial" w:cs="Arial"/>
          <w:sz w:val="16"/>
          <w:szCs w:val="16"/>
        </w:rPr>
        <w:t xml:space="preserve"> and Kathryn Zickuhr</w:t>
      </w:r>
      <w:r>
        <w:rPr>
          <w:rFonts w:ascii="Arial" w:eastAsia="Arial" w:hAnsi="Arial" w:cs="Arial"/>
          <w:sz w:val="16"/>
          <w:szCs w:val="16"/>
        </w:rPr>
        <w:t xml:space="preserve"> (2017)</w:t>
      </w:r>
      <w:r w:rsidRPr="00FA2235">
        <w:rPr>
          <w:rFonts w:ascii="Arial" w:eastAsia="Arial" w:hAnsi="Arial" w:cs="Arial"/>
          <w:sz w:val="16"/>
          <w:szCs w:val="16"/>
        </w:rPr>
        <w:t xml:space="preserve">. </w:t>
      </w:r>
      <w:proofErr w:type="gramStart"/>
      <w:r w:rsidRPr="00FA2235">
        <w:rPr>
          <w:rFonts w:ascii="Arial" w:eastAsia="Arial" w:hAnsi="Arial" w:cs="Arial"/>
          <w:sz w:val="16"/>
          <w:szCs w:val="16"/>
        </w:rPr>
        <w:t>Needs Assessment of Out-of-School Time Programs in the District of Columbia</w:t>
      </w:r>
      <w:r w:rsidR="00203E7C">
        <w:rPr>
          <w:rFonts w:ascii="Arial" w:eastAsia="Arial" w:hAnsi="Arial" w:cs="Arial"/>
          <w:sz w:val="16"/>
          <w:szCs w:val="16"/>
        </w:rPr>
        <w:t>.</w:t>
      </w:r>
      <w:proofErr w:type="gramEnd"/>
      <w:r w:rsidR="00203E7C">
        <w:rPr>
          <w:rFonts w:ascii="Arial" w:eastAsia="Arial" w:hAnsi="Arial" w:cs="Arial"/>
          <w:sz w:val="16"/>
          <w:szCs w:val="16"/>
        </w:rPr>
        <w:t xml:space="preserve"> Washington</w:t>
      </w:r>
      <w:r>
        <w:rPr>
          <w:rFonts w:ascii="Arial" w:eastAsia="Arial" w:hAnsi="Arial" w:cs="Arial"/>
          <w:sz w:val="16"/>
          <w:szCs w:val="16"/>
        </w:rPr>
        <w:t xml:space="preserve"> D</w:t>
      </w:r>
      <w:r w:rsidR="00203E7C"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C</w:t>
      </w:r>
      <w:r w:rsidR="00203E7C"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: DC Policy Center. </w:t>
      </w:r>
      <w:r w:rsidRPr="00FA2235">
        <w:rPr>
          <w:rFonts w:ascii="Arial" w:eastAsia="Arial" w:hAnsi="Arial" w:cs="Arial"/>
          <w:sz w:val="16"/>
          <w:szCs w:val="16"/>
        </w:rPr>
        <w:t xml:space="preserve">Retrieved from </w:t>
      </w:r>
      <w:r w:rsidR="00203E7C" w:rsidRPr="00FA2235">
        <w:rPr>
          <w:rFonts w:ascii="Arial" w:eastAsia="Arial" w:hAnsi="Arial" w:cs="Arial"/>
          <w:sz w:val="16"/>
          <w:szCs w:val="16"/>
          <w:u w:val="single"/>
        </w:rPr>
        <w:t>https://www.dcpolicycenter.org/wp-content/uploads/2017/10/FINAL-OST-DRAFT.OCTOBER-16.corrected.pdf</w:t>
      </w:r>
    </w:p>
    <w:p w:rsidR="00C97F2B" w:rsidRDefault="00C97F2B" w:rsidP="008E79BF">
      <w:pPr>
        <w:spacing w:after="0" w:line="240" w:lineRule="auto"/>
        <w:rPr>
          <w:rFonts w:ascii="Arial" w:eastAsia="Arial" w:hAnsi="Arial" w:cs="Arial"/>
        </w:rPr>
      </w:pPr>
    </w:p>
    <w:p w:rsidR="00C97F2B" w:rsidRPr="008E79BF" w:rsidRDefault="00C97F2B">
      <w:pPr>
        <w:spacing w:after="0" w:line="240" w:lineRule="auto"/>
        <w:rPr>
          <w:rFonts w:ascii="Arial" w:eastAsia="Arial" w:hAnsi="Arial" w:cs="Arial"/>
          <w:b/>
          <w:i/>
        </w:rPr>
      </w:pPr>
    </w:p>
    <w:p w:rsidR="00C97F2B" w:rsidRDefault="00F33846">
      <w:pPr>
        <w:spacing w:after="0" w:line="240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3BAB6DF3" wp14:editId="6EAD52AB">
                <wp:simplePos x="0" y="0"/>
                <wp:positionH relativeFrom="margin">
                  <wp:posOffset>5067300</wp:posOffset>
                </wp:positionH>
                <wp:positionV relativeFrom="paragraph">
                  <wp:posOffset>303530</wp:posOffset>
                </wp:positionV>
                <wp:extent cx="1571625" cy="851535"/>
                <wp:effectExtent l="0" t="0" r="0" b="5715"/>
                <wp:wrapSquare wrapText="bothSides" distT="0" distB="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7F2B" w:rsidRPr="00FA2235" w:rsidRDefault="00C15E7F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2235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Youth</w:t>
                            </w:r>
                            <w:r w:rsidRPr="00FA223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 successfully transition from childhood to adolescen</w:t>
                            </w:r>
                            <w:r w:rsidR="00DB03A0" w:rsidRPr="00FA223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ce</w:t>
                            </w:r>
                            <w:r w:rsidRPr="00FA223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to adulthood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99pt;margin-top:23.9pt;width:123.75pt;height:67.0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" filled="f" stroked="f">
                <v:textbox inset="2.53958mm,1.2694mm,2.53958mm,1.2694mm">
                  <w:txbxContent>
                    <w:p w:rsidR="00C97F2B" w:rsidRPr="00FA2235" w:rsidRDefault="00C15E7F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2235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Youth</w:t>
                      </w:r>
                      <w:r w:rsidRPr="00FA223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 successfully transition from childhood to adolescen</w:t>
                      </w:r>
                      <w:r w:rsidR="00DB03A0" w:rsidRPr="00FA223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ce</w:t>
                      </w:r>
                      <w:r w:rsidRPr="00FA223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to adulthood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7C433655" wp14:editId="58F08FD0">
                <wp:simplePos x="0" y="0"/>
                <wp:positionH relativeFrom="margin">
                  <wp:posOffset>3340100</wp:posOffset>
                </wp:positionH>
                <wp:positionV relativeFrom="paragraph">
                  <wp:posOffset>302895</wp:posOffset>
                </wp:positionV>
                <wp:extent cx="1552575" cy="933450"/>
                <wp:effectExtent l="0" t="0" r="0" b="0"/>
                <wp:wrapSquare wrapText="bothSides" distT="0" distB="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7F2B" w:rsidRPr="00FA2235" w:rsidRDefault="00C15E7F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2235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Program</w:t>
                            </w:r>
                            <w:r w:rsidRPr="00FA223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 high quality programs and experience</w:t>
                            </w:r>
                            <w:r w:rsidR="00DB03A0" w:rsidRPr="00FA223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FA223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retain youth and provide the necessary dosage for impact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9" o:spid="_x0000_s1027" style="position:absolute;margin-left:263pt;margin-top:23.85pt;width:122.25pt;height:73.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" filled="f" stroked="f">
                <v:textbox inset="2.53958mm,1.2694mm,2.53958mm,1.2694mm">
                  <w:txbxContent>
                    <w:p w:rsidR="00C97F2B" w:rsidRPr="00FA2235" w:rsidRDefault="00C15E7F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2235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Program</w:t>
                      </w:r>
                      <w:r w:rsidRPr="00FA223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 high quality programs and experience</w:t>
                      </w:r>
                      <w:r w:rsidR="00DB03A0" w:rsidRPr="00FA223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FA223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retain youth and provide the necessary dosage for impact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 wp14:anchorId="085CF6DC" wp14:editId="7A53749B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1812925" cy="930275"/>
                <wp:effectExtent l="0" t="0" r="15875" b="22225"/>
                <wp:wrapSquare wrapText="bothSides" distT="0" distB="0" distL="114300" distR="11430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925" cy="930275"/>
                          <a:chOff x="4439538" y="3322800"/>
                          <a:chExt cx="1812925" cy="91440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4439538" y="3322800"/>
                            <a:ext cx="1812925" cy="914400"/>
                            <a:chOff x="-13938" y="0"/>
                            <a:chExt cx="1852263" cy="914400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-13938" y="0"/>
                              <a:ext cx="185225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7F2B" w:rsidRDefault="00C97F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4" name="Pentagon 14"/>
                          <wps:cNvSpPr/>
                          <wps:spPr>
                            <a:xfrm>
                              <a:off x="28575" y="0"/>
                              <a:ext cx="1809750" cy="914400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97F2B" w:rsidRDefault="00C97F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-13938" y="76120"/>
                              <a:ext cx="1692426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7F2B" w:rsidRPr="00FA2235" w:rsidRDefault="00C15E7F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A2235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System</w:t>
                                </w:r>
                                <w:r w:rsidRPr="00FA223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10A61" w:rsidRPr="00FA223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FA223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rovides citywide critical infrastructure support, guidance, data sharing and communication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8" style="position:absolute;margin-left:0;margin-top:17.9pt;width:142.75pt;height:73.25pt;z-index:-251653120;mso-position-horizontal-relative:margin;mso-height-relative:margin" coordorigin="44395,33228" coordsize="1812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">
                <v:group id="Group 12" o:spid="_x0000_s1029" style="position:absolute;left:44395;top:33228;width:18129;height:9144" coordorigin="-139" coordsize="18522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3" o:spid="_x0000_s1030" style="position:absolute;left:-139;width:1852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T1MAA&#10;AADbAAAADwAAAGRycy9kb3ducmV2LnhtbERPzWrCQBC+C77DMoI33RiLaOoqWiy0njT2AabZaTaY&#10;nU2zq6Zv3xUEb/Px/c5y3dlaXKn1lWMFk3ECgrhwuuJSwdfpfTQH4QOyxtoxKfgjD+tVv7fETLsb&#10;H+mah1LEEPYZKjAhNJmUvjBk0Y9dQxy5H9daDBG2pdQt3mK4rWWaJDNpseLYYLChN0PFOb9YBYcX&#10;R+ku9du8tAvTfZ/2n784U2o46DavIAJ14Sl+uD90nD+F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QT1MAAAADbAAAADwAAAAAAAAAAAAAAAACYAgAAZHJzL2Rvd25y&#10;ZXYueG1sUEsFBgAAAAAEAAQA9QAAAIUDAAAAAA==&#10;" filled="f" stroked="f">
                    <v:textbox inset="2.53958mm,2.53958mm,2.53958mm,2.53958mm">
                      <w:txbxContent>
                        <w:p w:rsidR="00C97F2B" w:rsidRDefault="00C97F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14" o:spid="_x0000_s1031" type="#_x0000_t15" style="position:absolute;left:285;width:1809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T1sEA&#10;AADbAAAADwAAAGRycy9kb3ducmV2LnhtbERPTYvCMBC9L/gfwgje1tRVZKlGWYUFET3YFfY624xt&#10;2WZSkmjbf28Ewds83ucs152pxY2crywrmIwTEMS51RUXCs4/3++fIHxA1lhbJgU9eVivBm9LTLVt&#10;+US3LBQihrBPUUEZQpNK6fOSDPqxbYgjd7HOYIjQFVI7bGO4qeVHksylwYpjQ4kNbUvK/7OrUZDr&#10;brpv93/N4TzPEnncbHv32ys1GnZfCxCBuvASP907HefP4PFLP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dU9bBAAAA2wAAAA8AAAAAAAAAAAAAAAAAmAIAAGRycy9kb3du&#10;cmV2LnhtbFBLBQYAAAAABAAEAPUAAACGAwAAAAA=&#10;" adj="16143" fillcolor="white [3201]" strokecolor="#395e89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C97F2B" w:rsidRDefault="00C97F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Rectangle 15" o:spid="_x0000_s1032" style="position:absolute;left:-139;top:761;width:16923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nRr8A&#10;AADbAAAADwAAAGRycy9kb3ducmV2LnhtbERPPWvDMBDdC/kP4grZGtklDsWNbEpooRnrdOh4WBfb&#10;RDoZSU7sfx8VCt3u8T5vX8/WiCv5MDhWkG8yEMSt0wN3Cr5PH08vIEJE1mgck4KFAtTV6mGPpXY3&#10;/qJrEzuRQjiUqKCPcSylDG1PFsPGjcSJOztvMSboO6k93lK4NfI5y3bS4sCpoceRDj21l2ayCkYy&#10;ejLbJvtp5bvnfHc8yaVQav04v72CiDTHf/Gf+1On+QX8/pIOk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XidGvwAAANsAAAAPAAAAAAAAAAAAAAAAAJgCAABkcnMvZG93bnJl&#10;di54bWxQSwUGAAAAAAQABAD1AAAAhAMAAAAA&#10;" filled="f" stroked="f">
                    <v:textbox inset="2.53958mm,1.2694mm,2.53958mm,1.2694mm">
                      <w:txbxContent>
                        <w:p w:rsidR="00C97F2B" w:rsidRPr="00FA2235" w:rsidRDefault="00C15E7F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2235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t>System</w:t>
                          </w:r>
                          <w:r w:rsidRPr="00FA223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: </w:t>
                          </w:r>
                          <w:r w:rsidR="00310A61" w:rsidRPr="00FA223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p</w:t>
                          </w:r>
                          <w:r w:rsidRPr="00FA223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rovides citywide critical infrastructure support, guidance, data sharing and communication</w:t>
                          </w:r>
                        </w:p>
                      </w:txbxContent>
                    </v:textbox>
                  </v:rect>
                </v:group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3BCA7008" wp14:editId="4277AC98">
                <wp:simplePos x="0" y="0"/>
                <wp:positionH relativeFrom="margin">
                  <wp:posOffset>1219200</wp:posOffset>
                </wp:positionH>
                <wp:positionV relativeFrom="paragraph">
                  <wp:posOffset>227330</wp:posOffset>
                </wp:positionV>
                <wp:extent cx="2181225" cy="1007110"/>
                <wp:effectExtent l="0" t="0" r="28575" b="2540"/>
                <wp:wrapSquare wrapText="bothSides" distT="0" distB="0" distL="114300" distR="11430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007110"/>
                          <a:chOff x="4255388" y="3322800"/>
                          <a:chExt cx="2181225" cy="99057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4255388" y="3322800"/>
                            <a:ext cx="2181225" cy="990570"/>
                            <a:chOff x="0" y="0"/>
                            <a:chExt cx="2181225" cy="99057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21812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7F2B" w:rsidRDefault="00C97F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4" name="Pentagon 24"/>
                          <wps:cNvSpPr/>
                          <wps:spPr>
                            <a:xfrm>
                              <a:off x="0" y="1"/>
                              <a:ext cx="2181225" cy="914400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97F2B" w:rsidRDefault="00C97F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512152" y="76170"/>
                              <a:ext cx="16097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7F2B" w:rsidRPr="00FA2235" w:rsidRDefault="00C15E7F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A2235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Organization</w:t>
                                </w:r>
                                <w:r w:rsidRPr="00FA223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310A61" w:rsidRPr="00FA223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strong </w:t>
                                </w:r>
                                <w:r w:rsidRPr="00FA223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management practices offer programmatic infrastructure and ability for programs to scale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33" style="position:absolute;margin-left:96pt;margin-top:17.9pt;width:171.75pt;height:79.3pt;z-index:-251656192;mso-position-horizontal-relative:margin;mso-width-relative:margin;mso-height-relative:margin" coordorigin="42553,33228" coordsize="21812,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">
                <v:group id="Group 22" o:spid="_x0000_s1034" style="position:absolute;left:42553;top:33228;width:21813;height:9905" coordsize="21812,9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23" o:spid="_x0000_s1035" style="position:absolute;width:2181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ZacMA&#10;AADbAAAADwAAAGRycy9kb3ducmV2LnhtbESPwW7CMBBE75X4B2uReitOU4TaEAcBKhL01AY+YImX&#10;OGq8DrEL4e9xpUo9jmbmjSZfDLYVF+p941jB8yQBQVw53XCt4LDfPL2C8AFZY+uYFNzIw6IYPeSY&#10;aXflL7qUoRYRwj5DBSaELpPSV4Ys+onriKN3cr3FEGVfS93jNcJtK9MkmUmLDccFgx2tDVXf5Y9V&#10;8Dl1lL6nflXW9s0Mx/3H7owzpR7Hw3IOItAQ/sN/7a1WkL7A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jZac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C97F2B" w:rsidRDefault="00C97F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Pentagon 24" o:spid="_x0000_s1036" type="#_x0000_t15" style="position:absolute;width:2181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IZcIA&#10;AADbAAAADwAAAGRycy9kb3ducmV2LnhtbESPT2sCMRTE7wW/Q3gFbzWpSrGrUUSpeCv1T8+PzXN3&#10;cfOyJOnu+u1NQfA4zMxvmMWqt7VoyYfKsYb3kQJBnDtTcaHhdPx6m4EIEdlg7Zg03CjAajl4WWBm&#10;XMc/1B5iIRKEQ4YayhibTMqQl2QxjFxDnLyL8xZjkr6QxmOX4LaWY6U+pMWK00KJDW1Kyq+HP6uh&#10;nn37VqrL/rObnCfKFTs33f5qPXzt13MQkfr4DD/ae6NhPIX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AhlwgAAANsAAAAPAAAAAAAAAAAAAAAAAJgCAABkcnMvZG93&#10;bnJldi54bWxQSwUGAAAAAAQABAD1AAAAhwMAAAAA&#10;" adj="17072" fillcolor="white [3201]" strokecolor="#395e89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C97F2B" w:rsidRDefault="00C97F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Rectangle 25" o:spid="_x0000_s1037" style="position:absolute;left:5121;top:761;width:1609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t+78A&#10;AADbAAAADwAAAGRycy9kb3ducmV2LnhtbESPQYvCMBSE74L/ITzBm6aKilSjiCjocasHj4/m2RaT&#10;l5JErf/eLCzscZiZb5j1trNGvMiHxrGCyTgDQVw63XCl4Ho5jpYgQkTWaByTgg8F2G76vTXm2r35&#10;h15FrESCcMhRQR1jm0sZyposhrFriZN3d95iTNJXUnt8J7g1cpplC2mx4bRQY0v7mspH8bQKWjL6&#10;aWZFdivlwfNkcb7Iz1yp4aDbrUBE6uJ/+K990gqmc/j9kn6A3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Mu37vwAAANsAAAAPAAAAAAAAAAAAAAAAAJgCAABkcnMvZG93bnJl&#10;di54bWxQSwUGAAAAAAQABAD1AAAAhAMAAAAA&#10;" filled="f" stroked="f">
                    <v:textbox inset="2.53958mm,1.2694mm,2.53958mm,1.2694mm">
                      <w:txbxContent>
                        <w:p w:rsidR="00C97F2B" w:rsidRPr="00FA2235" w:rsidRDefault="00C15E7F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2235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t>Organization</w:t>
                          </w:r>
                          <w:r w:rsidRPr="00FA223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: </w:t>
                          </w:r>
                          <w:r w:rsidR="00310A61" w:rsidRPr="00FA223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strong </w:t>
                          </w:r>
                          <w:r w:rsidRPr="00FA223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management practices offer programmatic infrastructure and ability for programs to scale</w:t>
                          </w:r>
                        </w:p>
                      </w:txbxContent>
                    </v:textbox>
                  </v:rect>
                </v:group>
                <w10:wrap type="square" anchorx="margin"/>
              </v:group>
            </w:pict>
          </mc:Fallback>
        </mc:AlternateContent>
      </w:r>
      <w:r w:rsidR="00C15E7F">
        <w:rPr>
          <w:rFonts w:ascii="Arial" w:eastAsia="Arial" w:hAnsi="Arial" w:cs="Arial"/>
          <w:b/>
        </w:rPr>
        <w:t>Theory of Change</w:t>
      </w:r>
      <w:r w:rsidR="00C15E7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3003D22B" wp14:editId="1DA298D6">
                <wp:simplePos x="0" y="0"/>
                <wp:positionH relativeFrom="margin">
                  <wp:posOffset>4445000</wp:posOffset>
                </wp:positionH>
                <wp:positionV relativeFrom="paragraph">
                  <wp:posOffset>215900</wp:posOffset>
                </wp:positionV>
                <wp:extent cx="2254250" cy="939800"/>
                <wp:effectExtent l="0" t="0" r="0" b="0"/>
                <wp:wrapSquare wrapText="bothSides" distT="0" distB="0" distL="114300" distR="114300"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1575" y="3322800"/>
                          <a:ext cx="2228850" cy="9144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7F2B" w:rsidRDefault="00C97F2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Pentagon 1" o:spid="_x0000_s1038" type="#_x0000_t15" style="position:absolute;margin-left:350pt;margin-top:17pt;width:177.5pt;height:74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" adj="17169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97F2B" w:rsidRDefault="00C97F2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E7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01CDFBB9" wp14:editId="144EC576">
                <wp:simplePos x="0" y="0"/>
                <wp:positionH relativeFrom="margin">
                  <wp:posOffset>2933700</wp:posOffset>
                </wp:positionH>
                <wp:positionV relativeFrom="paragraph">
                  <wp:posOffset>215900</wp:posOffset>
                </wp:positionV>
                <wp:extent cx="2187575" cy="939800"/>
                <wp:effectExtent l="0" t="0" r="0" b="0"/>
                <wp:wrapSquare wrapText="bothSides" distT="0" distB="0" distL="114300" distR="114300"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322800"/>
                          <a:ext cx="2162175" cy="9144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7F2B" w:rsidRDefault="00C97F2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Pentagon 4" o:spid="_x0000_s1039" type="#_x0000_t15" style="position:absolute;margin-left:231pt;margin-top:17pt;width:172.25pt;height:74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" adj="17033" fillcolor="white [3201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97F2B" w:rsidRDefault="00C97F2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7F2B" w:rsidRDefault="00C97F2B">
      <w:pPr>
        <w:spacing w:after="0" w:line="240" w:lineRule="auto"/>
        <w:rPr>
          <w:rFonts w:ascii="Arial" w:eastAsia="Arial" w:hAnsi="Arial" w:cs="Arial"/>
          <w:b/>
        </w:rPr>
      </w:pPr>
    </w:p>
    <w:p w:rsidR="00C97F2B" w:rsidRDefault="00C15E7F">
      <w:pPr>
        <w:rPr>
          <w:rFonts w:ascii="Arial" w:eastAsia="Arial" w:hAnsi="Arial" w:cs="Arial"/>
          <w:b/>
        </w:rPr>
      </w:pPr>
      <w:r>
        <w:br w:type="page"/>
      </w:r>
    </w:p>
    <w:p w:rsidR="00C97F2B" w:rsidRDefault="00C97F2B">
      <w:pPr>
        <w:spacing w:after="0" w:line="240" w:lineRule="auto"/>
        <w:rPr>
          <w:rFonts w:ascii="Arial" w:eastAsia="Arial" w:hAnsi="Arial" w:cs="Arial"/>
          <w:b/>
        </w:rPr>
      </w:pPr>
    </w:p>
    <w:p w:rsidR="00C97F2B" w:rsidRPr="0072513E" w:rsidRDefault="00C15E7F">
      <w:pPr>
        <w:spacing w:after="0" w:line="240" w:lineRule="auto"/>
        <w:rPr>
          <w:rFonts w:ascii="Arial" w:eastAsia="Arial" w:hAnsi="Arial" w:cs="Arial"/>
          <w:b/>
        </w:rPr>
      </w:pPr>
      <w:r w:rsidRPr="0072513E">
        <w:rPr>
          <w:rFonts w:ascii="Arial" w:eastAsia="Arial" w:hAnsi="Arial" w:cs="Arial"/>
          <w:b/>
        </w:rPr>
        <w:t>Strategic Priorities</w:t>
      </w:r>
    </w:p>
    <w:p w:rsidR="00C97F2B" w:rsidRPr="0072513E" w:rsidRDefault="00C15E7F">
      <w:pPr>
        <w:spacing w:after="0" w:line="240" w:lineRule="auto"/>
        <w:rPr>
          <w:rFonts w:ascii="Arial" w:eastAsia="Arial" w:hAnsi="Arial" w:cs="Arial"/>
        </w:rPr>
      </w:pPr>
      <w:r w:rsidRPr="0072513E">
        <w:rPr>
          <w:rFonts w:ascii="Arial" w:eastAsia="Arial" w:hAnsi="Arial" w:cs="Arial"/>
        </w:rPr>
        <w:t xml:space="preserve">Over the next three years, the Commission and the OST Office will focus on </w:t>
      </w:r>
      <w:r w:rsidR="0015561D">
        <w:rPr>
          <w:rFonts w:ascii="Arial" w:eastAsia="Arial" w:hAnsi="Arial" w:cs="Arial"/>
        </w:rPr>
        <w:t>the following</w:t>
      </w:r>
      <w:r w:rsidR="0015561D" w:rsidRPr="0072513E">
        <w:rPr>
          <w:rFonts w:ascii="Arial" w:eastAsia="Arial" w:hAnsi="Arial" w:cs="Arial"/>
        </w:rPr>
        <w:t xml:space="preserve"> </w:t>
      </w:r>
      <w:r w:rsidRPr="0072513E">
        <w:rPr>
          <w:rFonts w:ascii="Arial" w:eastAsia="Arial" w:hAnsi="Arial" w:cs="Arial"/>
        </w:rPr>
        <w:t xml:space="preserve">four strategic priorities to achieve our vision. Each strategic priority must remain anchored in our values of </w:t>
      </w:r>
      <w:r w:rsidRPr="00752B64">
        <w:rPr>
          <w:rFonts w:ascii="Arial" w:eastAsia="Arial" w:hAnsi="Arial" w:cs="Arial"/>
          <w:b/>
        </w:rPr>
        <w:t>youth voice, equity, commitment to learning, and mutual respect and responsibilities</w:t>
      </w:r>
      <w:r w:rsidRPr="0072513E">
        <w:rPr>
          <w:rFonts w:ascii="Arial" w:eastAsia="Arial" w:hAnsi="Arial" w:cs="Arial"/>
        </w:rPr>
        <w:t xml:space="preserve">. </w:t>
      </w:r>
    </w:p>
    <w:p w:rsidR="00C97F2B" w:rsidRPr="0072513E" w:rsidRDefault="00C97F2B">
      <w:pPr>
        <w:spacing w:after="0" w:line="240" w:lineRule="auto"/>
        <w:rPr>
          <w:rFonts w:ascii="Arial" w:eastAsia="Arial" w:hAnsi="Arial" w:cs="Arial"/>
        </w:rPr>
      </w:pPr>
    </w:p>
    <w:p w:rsidR="00C97F2B" w:rsidRPr="0072513E" w:rsidRDefault="00C15E7F" w:rsidP="007251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rFonts w:ascii="Arial" w:eastAsia="Arial" w:hAnsi="Arial" w:cs="Arial"/>
          <w:b/>
          <w:color w:val="000000"/>
        </w:rPr>
      </w:pPr>
      <w:r w:rsidRPr="0072513E">
        <w:rPr>
          <w:rFonts w:ascii="Arial" w:eastAsia="Arial" w:hAnsi="Arial" w:cs="Arial"/>
          <w:b/>
          <w:color w:val="000000"/>
        </w:rPr>
        <w:t>Funding and Capacity Building</w:t>
      </w:r>
    </w:p>
    <w:p w:rsidR="0072513E" w:rsidRDefault="00C15E7F" w:rsidP="00725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highlight w:val="white"/>
        </w:rPr>
      </w:pPr>
      <w:r w:rsidRPr="0072513E">
        <w:rPr>
          <w:rFonts w:ascii="Arial" w:eastAsia="Arial" w:hAnsi="Arial" w:cs="Arial"/>
          <w:color w:val="333333"/>
          <w:highlight w:val="white"/>
        </w:rPr>
        <w:t xml:space="preserve">The </w:t>
      </w:r>
      <w:r w:rsidR="00FA2235">
        <w:rPr>
          <w:rFonts w:ascii="Arial" w:eastAsia="Arial" w:hAnsi="Arial" w:cs="Arial"/>
          <w:color w:val="333333"/>
          <w:highlight w:val="white"/>
        </w:rPr>
        <w:t xml:space="preserve">OST </w:t>
      </w:r>
      <w:r w:rsidRPr="0072513E">
        <w:rPr>
          <w:rFonts w:ascii="Arial" w:eastAsia="Arial" w:hAnsi="Arial" w:cs="Arial"/>
          <w:color w:val="333333"/>
          <w:highlight w:val="white"/>
        </w:rPr>
        <w:t xml:space="preserve">Commission prioritizes closing the gap in OST program </w:t>
      </w:r>
      <w:r w:rsidR="0072513E" w:rsidRPr="0072513E">
        <w:rPr>
          <w:rFonts w:ascii="Arial" w:eastAsia="Arial" w:hAnsi="Arial" w:cs="Arial"/>
          <w:color w:val="333333"/>
          <w:highlight w:val="white"/>
        </w:rPr>
        <w:t>capacity</w:t>
      </w:r>
      <w:r w:rsidR="0072513E">
        <w:rPr>
          <w:rFonts w:ascii="Arial" w:eastAsia="Arial" w:hAnsi="Arial" w:cs="Arial"/>
          <w:color w:val="333333"/>
          <w:highlight w:val="white"/>
        </w:rPr>
        <w:t>; this is achieved</w:t>
      </w:r>
      <w:r w:rsidR="0072513E" w:rsidRPr="0072513E">
        <w:rPr>
          <w:rFonts w:ascii="Arial" w:eastAsia="Arial" w:hAnsi="Arial" w:cs="Arial"/>
          <w:color w:val="333333"/>
          <w:highlight w:val="white"/>
        </w:rPr>
        <w:t xml:space="preserve"> when all </w:t>
      </w:r>
      <w:r w:rsidR="00F33846">
        <w:rPr>
          <w:rFonts w:ascii="Arial" w:eastAsia="Arial" w:hAnsi="Arial" w:cs="Arial"/>
        </w:rPr>
        <w:t xml:space="preserve">Washington, DC </w:t>
      </w:r>
      <w:r w:rsidR="0072513E" w:rsidRPr="0072513E">
        <w:rPr>
          <w:rFonts w:ascii="Arial" w:eastAsia="Arial" w:hAnsi="Arial" w:cs="Arial"/>
          <w:color w:val="333333"/>
          <w:highlight w:val="white"/>
        </w:rPr>
        <w:t>youth have equitable access to diverse, high-quality programs in locations convenient to them</w:t>
      </w:r>
      <w:r w:rsidR="0072513E">
        <w:rPr>
          <w:rFonts w:ascii="Arial" w:eastAsia="Arial" w:hAnsi="Arial" w:cs="Arial"/>
          <w:color w:val="333333"/>
          <w:highlight w:val="white"/>
        </w:rPr>
        <w:t xml:space="preserve">. </w:t>
      </w:r>
    </w:p>
    <w:p w:rsidR="0072513E" w:rsidRDefault="0072513E" w:rsidP="00725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highlight w:val="white"/>
        </w:rPr>
      </w:pPr>
    </w:p>
    <w:p w:rsidR="00C97F2B" w:rsidRPr="0072513E" w:rsidRDefault="00C15E7F" w:rsidP="00725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72513E">
        <w:rPr>
          <w:rFonts w:ascii="Arial" w:eastAsia="Arial" w:hAnsi="Arial" w:cs="Arial"/>
          <w:color w:val="333333"/>
          <w:highlight w:val="white"/>
        </w:rPr>
        <w:t xml:space="preserve">The Commission will support Learn24 in closing the gap in OST program capacity by guiding </w:t>
      </w:r>
      <w:r w:rsidR="005A316B">
        <w:rPr>
          <w:rFonts w:ascii="Arial" w:eastAsia="Arial" w:hAnsi="Arial" w:cs="Arial"/>
          <w:color w:val="333333"/>
          <w:highlight w:val="white"/>
        </w:rPr>
        <w:t xml:space="preserve">the </w:t>
      </w:r>
      <w:r w:rsidR="002640EE">
        <w:rPr>
          <w:rFonts w:ascii="Arial" w:eastAsia="Arial" w:hAnsi="Arial" w:cs="Arial"/>
          <w:color w:val="333333"/>
          <w:highlight w:val="white"/>
        </w:rPr>
        <w:t xml:space="preserve">OST Office </w:t>
      </w:r>
      <w:r w:rsidRPr="0072513E">
        <w:rPr>
          <w:rFonts w:ascii="Arial" w:eastAsia="Arial" w:hAnsi="Arial" w:cs="Arial"/>
          <w:color w:val="333333"/>
          <w:highlight w:val="white"/>
        </w:rPr>
        <w:t>in its mission to provide financial, technical</w:t>
      </w:r>
      <w:r w:rsidR="00B148EA">
        <w:rPr>
          <w:rFonts w:ascii="Arial" w:eastAsia="Arial" w:hAnsi="Arial" w:cs="Arial"/>
          <w:color w:val="333333"/>
          <w:highlight w:val="white"/>
        </w:rPr>
        <w:t>,</w:t>
      </w:r>
      <w:r w:rsidRPr="0072513E">
        <w:rPr>
          <w:rFonts w:ascii="Arial" w:eastAsia="Arial" w:hAnsi="Arial" w:cs="Arial"/>
          <w:color w:val="333333"/>
          <w:highlight w:val="white"/>
        </w:rPr>
        <w:t xml:space="preserve"> and educational resources to </w:t>
      </w:r>
      <w:r w:rsidR="008D6C3E">
        <w:rPr>
          <w:rFonts w:ascii="Arial" w:eastAsia="Arial" w:hAnsi="Arial" w:cs="Arial"/>
          <w:color w:val="333333"/>
          <w:highlight w:val="white"/>
        </w:rPr>
        <w:t xml:space="preserve">a wide range of </w:t>
      </w:r>
      <w:r w:rsidRPr="0072513E">
        <w:rPr>
          <w:rFonts w:ascii="Arial" w:eastAsia="Arial" w:hAnsi="Arial" w:cs="Arial"/>
          <w:color w:val="333333"/>
          <w:highlight w:val="white"/>
        </w:rPr>
        <w:t>OST providers</w:t>
      </w:r>
      <w:r w:rsidR="008D6C3E">
        <w:rPr>
          <w:rFonts w:ascii="Arial" w:eastAsia="Arial" w:hAnsi="Arial" w:cs="Arial"/>
          <w:color w:val="333333"/>
          <w:highlight w:val="white"/>
        </w:rPr>
        <w:t xml:space="preserve">, large and small, </w:t>
      </w:r>
      <w:r w:rsidR="00566A10">
        <w:rPr>
          <w:rFonts w:ascii="Arial" w:eastAsia="Arial" w:hAnsi="Arial" w:cs="Arial"/>
          <w:color w:val="333333"/>
          <w:highlight w:val="white"/>
        </w:rPr>
        <w:t xml:space="preserve">who have </w:t>
      </w:r>
      <w:r w:rsidR="008D6C3E">
        <w:rPr>
          <w:rFonts w:ascii="Arial" w:eastAsia="Arial" w:hAnsi="Arial" w:cs="Arial"/>
          <w:color w:val="333333"/>
          <w:highlight w:val="white"/>
        </w:rPr>
        <w:t xml:space="preserve">established trust </w:t>
      </w:r>
      <w:r w:rsidR="001C57DE">
        <w:rPr>
          <w:rFonts w:ascii="Arial" w:eastAsia="Arial" w:hAnsi="Arial" w:cs="Arial"/>
          <w:color w:val="333333"/>
          <w:highlight w:val="white"/>
        </w:rPr>
        <w:t xml:space="preserve">with their communities </w:t>
      </w:r>
      <w:r w:rsidR="008D6C3E">
        <w:rPr>
          <w:rFonts w:ascii="Arial" w:eastAsia="Arial" w:hAnsi="Arial" w:cs="Arial"/>
          <w:color w:val="333333"/>
          <w:highlight w:val="white"/>
        </w:rPr>
        <w:t>and</w:t>
      </w:r>
      <w:r w:rsidR="001C57DE">
        <w:rPr>
          <w:rFonts w:ascii="Arial" w:eastAsia="Arial" w:hAnsi="Arial" w:cs="Arial"/>
          <w:color w:val="333333"/>
          <w:highlight w:val="white"/>
        </w:rPr>
        <w:t xml:space="preserve"> have</w:t>
      </w:r>
      <w:r w:rsidR="008D6C3E">
        <w:rPr>
          <w:rFonts w:ascii="Arial" w:eastAsia="Arial" w:hAnsi="Arial" w:cs="Arial"/>
          <w:color w:val="333333"/>
          <w:highlight w:val="white"/>
        </w:rPr>
        <w:t xml:space="preserve"> experience meeting the needs of their communities</w:t>
      </w:r>
      <w:r w:rsidRPr="0072513E">
        <w:rPr>
          <w:rFonts w:ascii="Arial" w:eastAsia="Arial" w:hAnsi="Arial" w:cs="Arial"/>
          <w:color w:val="333333"/>
          <w:highlight w:val="white"/>
        </w:rPr>
        <w:t xml:space="preserve">. </w:t>
      </w:r>
    </w:p>
    <w:p w:rsidR="00C97F2B" w:rsidRPr="0072513E" w:rsidRDefault="00C97F2B" w:rsidP="0072513E">
      <w:pPr>
        <w:spacing w:after="0" w:line="240" w:lineRule="auto"/>
        <w:rPr>
          <w:rFonts w:ascii="Arial" w:eastAsia="Arial" w:hAnsi="Arial" w:cs="Arial"/>
        </w:rPr>
      </w:pPr>
    </w:p>
    <w:p w:rsidR="00C97F2B" w:rsidRPr="0072513E" w:rsidRDefault="00C15E7F" w:rsidP="007251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rFonts w:ascii="Arial" w:eastAsia="Arial" w:hAnsi="Arial" w:cs="Arial"/>
          <w:b/>
          <w:color w:val="000000"/>
        </w:rPr>
      </w:pPr>
      <w:r w:rsidRPr="0072513E">
        <w:rPr>
          <w:rFonts w:ascii="Arial" w:eastAsia="Arial" w:hAnsi="Arial" w:cs="Arial"/>
          <w:b/>
          <w:color w:val="000000"/>
        </w:rPr>
        <w:t xml:space="preserve">Quality </w:t>
      </w:r>
    </w:p>
    <w:p w:rsidR="00C97F2B" w:rsidRPr="0072513E" w:rsidRDefault="00235D43" w:rsidP="0072513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High-q</w:t>
      </w:r>
      <w:r w:rsidR="00C15E7F" w:rsidRPr="0072513E">
        <w:rPr>
          <w:rFonts w:ascii="Arial" w:eastAsia="Arial" w:hAnsi="Arial" w:cs="Arial"/>
        </w:rPr>
        <w:t xml:space="preserve">uality programs engage youth in </w:t>
      </w:r>
      <w:r w:rsidR="00B57DD6">
        <w:rPr>
          <w:rFonts w:ascii="Arial" w:eastAsia="Arial" w:hAnsi="Arial" w:cs="Arial"/>
        </w:rPr>
        <w:t xml:space="preserve">the </w:t>
      </w:r>
      <w:r w:rsidR="00C15E7F" w:rsidRPr="0072513E">
        <w:rPr>
          <w:rFonts w:ascii="Arial" w:eastAsia="Arial" w:hAnsi="Arial" w:cs="Arial"/>
        </w:rPr>
        <w:t>authentic expression of voice and choice by providing safe and supportive environments, caring adults</w:t>
      </w:r>
      <w:r w:rsidR="00B148EA">
        <w:rPr>
          <w:rFonts w:ascii="Arial" w:eastAsia="Arial" w:hAnsi="Arial" w:cs="Arial"/>
        </w:rPr>
        <w:t>,</w:t>
      </w:r>
      <w:r w:rsidR="00C15E7F" w:rsidRPr="0072513E">
        <w:rPr>
          <w:rFonts w:ascii="Arial" w:eastAsia="Arial" w:hAnsi="Arial" w:cs="Arial"/>
        </w:rPr>
        <w:t xml:space="preserve"> and structured activities. </w:t>
      </w:r>
      <w:r w:rsidR="00C15E7F" w:rsidRPr="0072513E">
        <w:rPr>
          <w:rFonts w:ascii="Arial" w:eastAsia="Arial" w:hAnsi="Arial" w:cs="Arial"/>
          <w:color w:val="333333"/>
          <w:highlight w:val="white"/>
        </w:rPr>
        <w:t xml:space="preserve">The Commission prioritizes ensuring that all </w:t>
      </w:r>
      <w:r w:rsidR="00F33846">
        <w:rPr>
          <w:rFonts w:ascii="Arial" w:eastAsia="Arial" w:hAnsi="Arial" w:cs="Arial"/>
        </w:rPr>
        <w:t xml:space="preserve">Washington, DC </w:t>
      </w:r>
      <w:r w:rsidR="00C15E7F" w:rsidRPr="0072513E">
        <w:rPr>
          <w:rFonts w:ascii="Arial" w:eastAsia="Arial" w:hAnsi="Arial" w:cs="Arial"/>
          <w:color w:val="333333"/>
          <w:highlight w:val="white"/>
        </w:rPr>
        <w:t>youth have equitable access to high-quality OST programs</w:t>
      </w:r>
      <w:r w:rsidR="00F667BC">
        <w:rPr>
          <w:rFonts w:ascii="Arial" w:eastAsia="Arial" w:hAnsi="Arial" w:cs="Arial"/>
          <w:color w:val="333333"/>
        </w:rPr>
        <w:t>.</w:t>
      </w:r>
    </w:p>
    <w:p w:rsidR="00C97F2B" w:rsidRPr="0072513E" w:rsidRDefault="00C97F2B" w:rsidP="0072513E">
      <w:pPr>
        <w:spacing w:after="0" w:line="240" w:lineRule="auto"/>
        <w:rPr>
          <w:rFonts w:ascii="Arial" w:eastAsia="Arial" w:hAnsi="Arial" w:cs="Arial"/>
          <w:color w:val="333333"/>
          <w:highlight w:val="white"/>
        </w:rPr>
      </w:pPr>
    </w:p>
    <w:p w:rsidR="00C97F2B" w:rsidRPr="0072513E" w:rsidRDefault="00C15E7F" w:rsidP="0072513E">
      <w:pPr>
        <w:spacing w:after="0" w:line="240" w:lineRule="auto"/>
        <w:rPr>
          <w:rFonts w:ascii="Arial" w:eastAsia="Arial" w:hAnsi="Arial" w:cs="Arial"/>
          <w:color w:val="333333"/>
          <w:highlight w:val="white"/>
        </w:rPr>
      </w:pPr>
      <w:r w:rsidRPr="0072513E">
        <w:rPr>
          <w:rFonts w:ascii="Arial" w:eastAsia="Arial" w:hAnsi="Arial" w:cs="Arial"/>
          <w:color w:val="333333"/>
          <w:highlight w:val="white"/>
        </w:rPr>
        <w:t xml:space="preserve">The Commission will </w:t>
      </w:r>
      <w:r w:rsidR="002640EE">
        <w:rPr>
          <w:rFonts w:ascii="Arial" w:eastAsia="Arial" w:hAnsi="Arial" w:cs="Arial"/>
          <w:color w:val="333333"/>
          <w:highlight w:val="white"/>
        </w:rPr>
        <w:t xml:space="preserve">set </w:t>
      </w:r>
      <w:r w:rsidRPr="0072513E">
        <w:rPr>
          <w:rFonts w:ascii="Arial" w:eastAsia="Arial" w:hAnsi="Arial" w:cs="Arial"/>
          <w:color w:val="333333"/>
          <w:highlight w:val="white"/>
        </w:rPr>
        <w:t>guide</w:t>
      </w:r>
      <w:r w:rsidR="002640EE">
        <w:rPr>
          <w:rFonts w:ascii="Arial" w:eastAsia="Arial" w:hAnsi="Arial" w:cs="Arial"/>
          <w:color w:val="333333"/>
          <w:highlight w:val="white"/>
        </w:rPr>
        <w:t>lines</w:t>
      </w:r>
      <w:r w:rsidRPr="0072513E">
        <w:rPr>
          <w:rFonts w:ascii="Arial" w:eastAsia="Arial" w:hAnsi="Arial" w:cs="Arial"/>
          <w:color w:val="333333"/>
          <w:highlight w:val="white"/>
        </w:rPr>
        <w:t xml:space="preserve"> </w:t>
      </w:r>
      <w:r w:rsidR="002640EE">
        <w:rPr>
          <w:rFonts w:ascii="Arial" w:eastAsia="Arial" w:hAnsi="Arial" w:cs="Arial"/>
          <w:color w:val="333333"/>
          <w:highlight w:val="white"/>
        </w:rPr>
        <w:t xml:space="preserve">for </w:t>
      </w:r>
      <w:r w:rsidR="005A316B">
        <w:rPr>
          <w:rFonts w:ascii="Arial" w:eastAsia="Arial" w:hAnsi="Arial" w:cs="Arial"/>
          <w:color w:val="333333"/>
          <w:highlight w:val="white"/>
        </w:rPr>
        <w:t>the OST Office</w:t>
      </w:r>
      <w:r w:rsidR="005A316B" w:rsidRPr="0072513E">
        <w:rPr>
          <w:rFonts w:ascii="Arial" w:eastAsia="Arial" w:hAnsi="Arial" w:cs="Arial"/>
          <w:color w:val="333333"/>
          <w:highlight w:val="white"/>
        </w:rPr>
        <w:t xml:space="preserve"> </w:t>
      </w:r>
      <w:r w:rsidR="00B57DD6">
        <w:rPr>
          <w:rFonts w:ascii="Arial" w:eastAsia="Arial" w:hAnsi="Arial" w:cs="Arial"/>
          <w:color w:val="333333"/>
          <w:highlight w:val="white"/>
        </w:rPr>
        <w:t xml:space="preserve">on how </w:t>
      </w:r>
      <w:r w:rsidR="00DB03A0">
        <w:rPr>
          <w:rFonts w:ascii="Arial" w:eastAsia="Arial" w:hAnsi="Arial" w:cs="Arial"/>
          <w:color w:val="333333"/>
          <w:highlight w:val="white"/>
        </w:rPr>
        <w:t xml:space="preserve">to </w:t>
      </w:r>
      <w:proofErr w:type="gramStart"/>
      <w:r w:rsidR="00DB03A0">
        <w:rPr>
          <w:rFonts w:ascii="Arial" w:eastAsia="Arial" w:hAnsi="Arial" w:cs="Arial"/>
          <w:color w:val="333333"/>
          <w:highlight w:val="white"/>
        </w:rPr>
        <w:t>define,</w:t>
      </w:r>
      <w:proofErr w:type="gramEnd"/>
      <w:r w:rsidR="00DB03A0">
        <w:rPr>
          <w:rFonts w:ascii="Arial" w:eastAsia="Arial" w:hAnsi="Arial" w:cs="Arial"/>
          <w:color w:val="333333"/>
          <w:highlight w:val="white"/>
        </w:rPr>
        <w:t xml:space="preserve"> measure, assess</w:t>
      </w:r>
      <w:r w:rsidRPr="0072513E">
        <w:rPr>
          <w:rFonts w:ascii="Arial" w:eastAsia="Arial" w:hAnsi="Arial" w:cs="Arial"/>
          <w:color w:val="333333"/>
          <w:highlight w:val="white"/>
        </w:rPr>
        <w:t xml:space="preserve"> and increase program quality.</w:t>
      </w:r>
    </w:p>
    <w:p w:rsidR="00C97F2B" w:rsidRPr="0072513E" w:rsidRDefault="00C97F2B" w:rsidP="0072513E">
      <w:pPr>
        <w:spacing w:after="0" w:line="240" w:lineRule="auto"/>
        <w:rPr>
          <w:rFonts w:ascii="Arial" w:eastAsia="Arial" w:hAnsi="Arial" w:cs="Arial"/>
          <w:color w:val="333333"/>
          <w:highlight w:val="white"/>
        </w:rPr>
      </w:pPr>
    </w:p>
    <w:p w:rsidR="00C97F2B" w:rsidRPr="0072513E" w:rsidRDefault="00C15E7F" w:rsidP="007251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rFonts w:ascii="Arial" w:eastAsia="Arial" w:hAnsi="Arial" w:cs="Arial"/>
          <w:b/>
        </w:rPr>
      </w:pPr>
      <w:r w:rsidRPr="0072513E">
        <w:rPr>
          <w:rFonts w:ascii="Arial" w:eastAsia="Arial" w:hAnsi="Arial" w:cs="Arial"/>
          <w:b/>
        </w:rPr>
        <w:t>Outcomes</w:t>
      </w:r>
    </w:p>
    <w:p w:rsidR="00C97F2B" w:rsidRPr="0072513E" w:rsidRDefault="00C15E7F" w:rsidP="00725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72513E">
        <w:rPr>
          <w:rFonts w:ascii="Arial" w:eastAsia="Arial" w:hAnsi="Arial" w:cs="Arial"/>
        </w:rPr>
        <w:t xml:space="preserve">Outcomes are the </w:t>
      </w:r>
      <w:r w:rsidR="0054313E">
        <w:rPr>
          <w:rFonts w:ascii="Arial" w:eastAsia="Arial" w:hAnsi="Arial" w:cs="Arial"/>
        </w:rPr>
        <w:t>strides</w:t>
      </w:r>
      <w:r w:rsidR="0054313E" w:rsidRPr="0072513E">
        <w:rPr>
          <w:rFonts w:ascii="Arial" w:eastAsia="Arial" w:hAnsi="Arial" w:cs="Arial"/>
        </w:rPr>
        <w:t xml:space="preserve"> </w:t>
      </w:r>
      <w:r w:rsidR="00770AAE">
        <w:rPr>
          <w:rFonts w:ascii="Arial" w:eastAsia="Arial" w:hAnsi="Arial" w:cs="Arial"/>
        </w:rPr>
        <w:t>the Commission</w:t>
      </w:r>
      <w:r w:rsidR="00770AAE" w:rsidRPr="0072513E">
        <w:rPr>
          <w:rFonts w:ascii="Arial" w:eastAsia="Arial" w:hAnsi="Arial" w:cs="Arial"/>
        </w:rPr>
        <w:t xml:space="preserve"> </w:t>
      </w:r>
      <w:r w:rsidR="0054313E">
        <w:rPr>
          <w:rFonts w:ascii="Arial" w:eastAsia="Arial" w:hAnsi="Arial" w:cs="Arial"/>
        </w:rPr>
        <w:t>expect</w:t>
      </w:r>
      <w:r w:rsidR="00FC4B08">
        <w:rPr>
          <w:rFonts w:ascii="Arial" w:eastAsia="Arial" w:hAnsi="Arial" w:cs="Arial"/>
        </w:rPr>
        <w:t xml:space="preserve">s </w:t>
      </w:r>
      <w:r w:rsidRPr="0072513E">
        <w:rPr>
          <w:rFonts w:ascii="Arial" w:eastAsia="Arial" w:hAnsi="Arial" w:cs="Arial"/>
        </w:rPr>
        <w:t xml:space="preserve">youth </w:t>
      </w:r>
      <w:r w:rsidR="0054313E">
        <w:rPr>
          <w:rFonts w:ascii="Arial" w:eastAsia="Arial" w:hAnsi="Arial" w:cs="Arial"/>
        </w:rPr>
        <w:t>will make</w:t>
      </w:r>
      <w:r w:rsidR="0054313E" w:rsidRPr="0072513E">
        <w:rPr>
          <w:rFonts w:ascii="Arial" w:eastAsia="Arial" w:hAnsi="Arial" w:cs="Arial"/>
        </w:rPr>
        <w:t xml:space="preserve"> </w:t>
      </w:r>
      <w:r w:rsidR="004F6BC3">
        <w:rPr>
          <w:rFonts w:ascii="Arial" w:eastAsia="Arial" w:hAnsi="Arial" w:cs="Arial"/>
        </w:rPr>
        <w:t>through</w:t>
      </w:r>
      <w:r w:rsidR="004F6BC3" w:rsidRPr="0072513E">
        <w:rPr>
          <w:rFonts w:ascii="Arial" w:eastAsia="Arial" w:hAnsi="Arial" w:cs="Arial"/>
        </w:rPr>
        <w:t xml:space="preserve"> </w:t>
      </w:r>
      <w:r w:rsidR="0054313E">
        <w:rPr>
          <w:rFonts w:ascii="Arial" w:eastAsia="Arial" w:hAnsi="Arial" w:cs="Arial"/>
        </w:rPr>
        <w:t>participati</w:t>
      </w:r>
      <w:r w:rsidR="004F6BC3">
        <w:rPr>
          <w:rFonts w:ascii="Arial" w:eastAsia="Arial" w:hAnsi="Arial" w:cs="Arial"/>
        </w:rPr>
        <w:t>o</w:t>
      </w:r>
      <w:r w:rsidR="0054313E">
        <w:rPr>
          <w:rFonts w:ascii="Arial" w:eastAsia="Arial" w:hAnsi="Arial" w:cs="Arial"/>
        </w:rPr>
        <w:t xml:space="preserve">n in </w:t>
      </w:r>
      <w:r w:rsidRPr="0072513E">
        <w:rPr>
          <w:rFonts w:ascii="Arial" w:eastAsia="Arial" w:hAnsi="Arial" w:cs="Arial"/>
        </w:rPr>
        <w:t>OST programs</w:t>
      </w:r>
      <w:r w:rsidR="00A93E05">
        <w:rPr>
          <w:rFonts w:ascii="Arial" w:eastAsia="Arial" w:hAnsi="Arial" w:cs="Arial"/>
        </w:rPr>
        <w:t>.</w:t>
      </w:r>
      <w:r w:rsidRPr="0072513E">
        <w:rPr>
          <w:rFonts w:ascii="Arial" w:eastAsia="Arial" w:hAnsi="Arial" w:cs="Arial"/>
        </w:rPr>
        <w:t xml:space="preserve"> </w:t>
      </w:r>
      <w:r w:rsidR="00A93E05">
        <w:rPr>
          <w:rFonts w:ascii="Arial" w:eastAsia="Arial" w:hAnsi="Arial" w:cs="Arial"/>
        </w:rPr>
        <w:t>O</w:t>
      </w:r>
      <w:r w:rsidR="005A316B">
        <w:rPr>
          <w:rFonts w:ascii="Arial" w:eastAsia="Arial" w:hAnsi="Arial" w:cs="Arial"/>
        </w:rPr>
        <w:t xml:space="preserve">utcomes </w:t>
      </w:r>
      <w:r w:rsidRPr="0072513E">
        <w:rPr>
          <w:rFonts w:ascii="Arial" w:eastAsia="Arial" w:hAnsi="Arial" w:cs="Arial"/>
        </w:rPr>
        <w:t xml:space="preserve">must </w:t>
      </w:r>
      <w:r w:rsidR="00A93E05">
        <w:rPr>
          <w:rFonts w:ascii="Arial" w:eastAsia="Arial" w:hAnsi="Arial" w:cs="Arial"/>
        </w:rPr>
        <w:t xml:space="preserve">evolve </w:t>
      </w:r>
      <w:r w:rsidRPr="0072513E">
        <w:rPr>
          <w:rFonts w:ascii="Arial" w:eastAsia="Arial" w:hAnsi="Arial" w:cs="Arial"/>
        </w:rPr>
        <w:t>with young people as they grow ph</w:t>
      </w:r>
      <w:r w:rsidR="00DB03A0">
        <w:rPr>
          <w:rFonts w:ascii="Arial" w:eastAsia="Arial" w:hAnsi="Arial" w:cs="Arial"/>
        </w:rPr>
        <w:t>ysically, socially, emotionally</w:t>
      </w:r>
      <w:r w:rsidR="00F33846">
        <w:rPr>
          <w:rFonts w:ascii="Arial" w:eastAsia="Arial" w:hAnsi="Arial" w:cs="Arial"/>
        </w:rPr>
        <w:t>,</w:t>
      </w:r>
      <w:r w:rsidRPr="0072513E">
        <w:rPr>
          <w:rFonts w:ascii="Arial" w:eastAsia="Arial" w:hAnsi="Arial" w:cs="Arial"/>
        </w:rPr>
        <w:t xml:space="preserve"> and cognitively. </w:t>
      </w:r>
    </w:p>
    <w:p w:rsidR="00C97F2B" w:rsidRPr="0072513E" w:rsidRDefault="00C97F2B" w:rsidP="00725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97F2B" w:rsidRPr="0072513E" w:rsidRDefault="00C15E7F" w:rsidP="00725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highlight w:val="white"/>
        </w:rPr>
      </w:pPr>
      <w:r w:rsidRPr="0072513E">
        <w:rPr>
          <w:rFonts w:ascii="Arial" w:eastAsia="Arial" w:hAnsi="Arial" w:cs="Arial"/>
          <w:color w:val="333333"/>
          <w:highlight w:val="white"/>
        </w:rPr>
        <w:t>The Commission prioritizes supporting Learn24 in ensuring that all D</w:t>
      </w:r>
      <w:r w:rsidR="00B148EA">
        <w:rPr>
          <w:rFonts w:ascii="Arial" w:eastAsia="Arial" w:hAnsi="Arial" w:cs="Arial"/>
          <w:color w:val="333333"/>
          <w:highlight w:val="white"/>
        </w:rPr>
        <w:t>.</w:t>
      </w:r>
      <w:r w:rsidRPr="0072513E">
        <w:rPr>
          <w:rFonts w:ascii="Arial" w:eastAsia="Arial" w:hAnsi="Arial" w:cs="Arial"/>
          <w:color w:val="333333"/>
          <w:highlight w:val="white"/>
        </w:rPr>
        <w:t>C</w:t>
      </w:r>
      <w:r w:rsidR="00B148EA">
        <w:rPr>
          <w:rFonts w:ascii="Arial" w:eastAsia="Arial" w:hAnsi="Arial" w:cs="Arial"/>
          <w:color w:val="333333"/>
          <w:highlight w:val="white"/>
        </w:rPr>
        <w:t>.</w:t>
      </w:r>
      <w:r w:rsidRPr="0072513E">
        <w:rPr>
          <w:rFonts w:ascii="Arial" w:eastAsia="Arial" w:hAnsi="Arial" w:cs="Arial"/>
          <w:color w:val="333333"/>
          <w:highlight w:val="white"/>
        </w:rPr>
        <w:t xml:space="preserve"> youth have access to programs that allow them to </w:t>
      </w:r>
      <w:r w:rsidR="0054313E">
        <w:rPr>
          <w:rFonts w:ascii="Arial" w:eastAsia="Arial" w:hAnsi="Arial" w:cs="Arial"/>
          <w:color w:val="333333"/>
          <w:highlight w:val="white"/>
        </w:rPr>
        <w:t>achieve</w:t>
      </w:r>
      <w:r w:rsidR="005A316B">
        <w:rPr>
          <w:rFonts w:ascii="Arial" w:eastAsia="Arial" w:hAnsi="Arial" w:cs="Arial"/>
          <w:color w:val="333333"/>
          <w:highlight w:val="white"/>
        </w:rPr>
        <w:t xml:space="preserve"> </w:t>
      </w:r>
      <w:r w:rsidRPr="0072513E">
        <w:rPr>
          <w:rFonts w:ascii="Arial" w:eastAsia="Arial" w:hAnsi="Arial" w:cs="Arial"/>
          <w:color w:val="333333"/>
          <w:highlight w:val="white"/>
        </w:rPr>
        <w:t xml:space="preserve">outcomes. The Commission will guide </w:t>
      </w:r>
      <w:r w:rsidR="0054313E">
        <w:rPr>
          <w:rFonts w:ascii="Arial" w:eastAsia="Arial" w:hAnsi="Arial" w:cs="Arial"/>
          <w:color w:val="333333"/>
          <w:highlight w:val="white"/>
        </w:rPr>
        <w:t>the OST Office</w:t>
      </w:r>
      <w:r w:rsidR="00FA2235">
        <w:rPr>
          <w:rFonts w:ascii="Arial" w:eastAsia="Arial" w:hAnsi="Arial" w:cs="Arial"/>
          <w:color w:val="333333"/>
          <w:highlight w:val="white"/>
        </w:rPr>
        <w:t xml:space="preserve"> on how to </w:t>
      </w:r>
      <w:r w:rsidR="00B07D3B">
        <w:rPr>
          <w:rFonts w:ascii="Arial" w:eastAsia="Arial" w:hAnsi="Arial" w:cs="Arial"/>
          <w:color w:val="333333"/>
          <w:highlight w:val="white"/>
        </w:rPr>
        <w:t>define, measure</w:t>
      </w:r>
      <w:r w:rsidR="00F33846">
        <w:rPr>
          <w:rFonts w:ascii="Arial" w:eastAsia="Arial" w:hAnsi="Arial" w:cs="Arial"/>
          <w:color w:val="333333"/>
          <w:highlight w:val="white"/>
        </w:rPr>
        <w:t>,</w:t>
      </w:r>
      <w:r w:rsidRPr="0072513E">
        <w:rPr>
          <w:rFonts w:ascii="Arial" w:eastAsia="Arial" w:hAnsi="Arial" w:cs="Arial"/>
          <w:color w:val="333333"/>
          <w:highlight w:val="white"/>
        </w:rPr>
        <w:t xml:space="preserve"> and assess outcomes.</w:t>
      </w:r>
    </w:p>
    <w:p w:rsidR="00C97F2B" w:rsidRPr="0072513E" w:rsidRDefault="00C97F2B" w:rsidP="00725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97F2B" w:rsidRPr="0072513E" w:rsidRDefault="00C15E7F" w:rsidP="007251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rFonts w:ascii="Arial" w:eastAsia="Arial" w:hAnsi="Arial" w:cs="Arial"/>
          <w:b/>
          <w:color w:val="000000"/>
        </w:rPr>
      </w:pPr>
      <w:r w:rsidRPr="0072513E">
        <w:rPr>
          <w:rFonts w:ascii="Arial" w:eastAsia="Arial" w:hAnsi="Arial" w:cs="Arial"/>
          <w:b/>
          <w:color w:val="000000"/>
        </w:rPr>
        <w:t>Coordination and Collaboration</w:t>
      </w:r>
    </w:p>
    <w:p w:rsidR="00C97F2B" w:rsidRPr="0072513E" w:rsidRDefault="00B04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</w:t>
      </w:r>
      <w:r w:rsidR="00C15E7F" w:rsidRPr="0072513E">
        <w:rPr>
          <w:rFonts w:ascii="Arial" w:eastAsia="Arial" w:hAnsi="Arial" w:cs="Arial"/>
        </w:rPr>
        <w:t xml:space="preserve">uild a strong and sustainable system that supports </w:t>
      </w:r>
      <w:r w:rsidR="004865C6">
        <w:rPr>
          <w:rFonts w:ascii="Arial" w:eastAsia="Arial" w:hAnsi="Arial" w:cs="Arial"/>
        </w:rPr>
        <w:t>high-</w:t>
      </w:r>
      <w:r w:rsidR="00C15E7F" w:rsidRPr="0072513E">
        <w:rPr>
          <w:rFonts w:ascii="Arial" w:eastAsia="Arial" w:hAnsi="Arial" w:cs="Arial"/>
        </w:rPr>
        <w:t>quality OST</w:t>
      </w:r>
      <w:r>
        <w:rPr>
          <w:rFonts w:ascii="Arial" w:eastAsia="Arial" w:hAnsi="Arial" w:cs="Arial"/>
        </w:rPr>
        <w:t xml:space="preserve"> programs, the OST Office will </w:t>
      </w:r>
      <w:r w:rsidRPr="0072513E">
        <w:rPr>
          <w:rFonts w:ascii="Arial" w:eastAsia="Arial" w:hAnsi="Arial" w:cs="Arial"/>
        </w:rPr>
        <w:t>rel</w:t>
      </w:r>
      <w:r>
        <w:rPr>
          <w:rFonts w:ascii="Arial" w:eastAsia="Arial" w:hAnsi="Arial" w:cs="Arial"/>
        </w:rPr>
        <w:t>y</w:t>
      </w:r>
      <w:r w:rsidRPr="0072513E">
        <w:rPr>
          <w:rFonts w:ascii="Arial" w:eastAsia="Arial" w:hAnsi="Arial" w:cs="Arial"/>
        </w:rPr>
        <w:t xml:space="preserve"> </w:t>
      </w:r>
      <w:r w:rsidR="00C15E7F" w:rsidRPr="0072513E">
        <w:rPr>
          <w:rFonts w:ascii="Arial" w:eastAsia="Arial" w:hAnsi="Arial" w:cs="Arial"/>
        </w:rPr>
        <w:t>on the help and input of youth</w:t>
      </w:r>
      <w:r w:rsidR="00B148EA">
        <w:rPr>
          <w:rFonts w:ascii="Arial" w:eastAsia="Arial" w:hAnsi="Arial" w:cs="Arial"/>
        </w:rPr>
        <w:t>,</w:t>
      </w:r>
      <w:r w:rsidR="00C15E7F" w:rsidRPr="0072513E">
        <w:rPr>
          <w:rFonts w:ascii="Arial" w:eastAsia="Arial" w:hAnsi="Arial" w:cs="Arial"/>
        </w:rPr>
        <w:t xml:space="preserve"> families</w:t>
      </w:r>
      <w:r>
        <w:rPr>
          <w:rFonts w:ascii="Arial" w:eastAsia="Arial" w:hAnsi="Arial" w:cs="Arial"/>
        </w:rPr>
        <w:t xml:space="preserve">, </w:t>
      </w:r>
      <w:r w:rsidR="00C15E7F" w:rsidRPr="0072513E">
        <w:rPr>
          <w:rFonts w:ascii="Arial" w:eastAsia="Arial" w:hAnsi="Arial" w:cs="Arial"/>
        </w:rPr>
        <w:t>OST providers</w:t>
      </w:r>
      <w:r>
        <w:rPr>
          <w:rFonts w:ascii="Arial" w:eastAsia="Arial" w:hAnsi="Arial" w:cs="Arial"/>
        </w:rPr>
        <w:t xml:space="preserve">, </w:t>
      </w:r>
      <w:r w:rsidR="00106D84">
        <w:rPr>
          <w:rFonts w:ascii="Arial" w:eastAsia="Arial" w:hAnsi="Arial" w:cs="Arial"/>
        </w:rPr>
        <w:t>experts</w:t>
      </w:r>
      <w:r w:rsidR="00F33846">
        <w:rPr>
          <w:rFonts w:ascii="Arial" w:eastAsia="Arial" w:hAnsi="Arial" w:cs="Arial"/>
        </w:rPr>
        <w:t>,</w:t>
      </w:r>
      <w:r w:rsidR="00C15E7F" w:rsidRPr="0072513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and </w:t>
      </w:r>
      <w:r w:rsidR="00C15E7F" w:rsidRPr="0072513E">
        <w:rPr>
          <w:rFonts w:ascii="Arial" w:eastAsia="Arial" w:hAnsi="Arial" w:cs="Arial"/>
        </w:rPr>
        <w:t xml:space="preserve">government agencies. </w:t>
      </w:r>
    </w:p>
    <w:p w:rsidR="00C97F2B" w:rsidRPr="0072513E" w:rsidRDefault="00C97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</w:rPr>
      </w:pPr>
    </w:p>
    <w:p w:rsidR="00B04E0C" w:rsidRDefault="00B04E0C" w:rsidP="00725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color w:val="333333"/>
          <w:highlight w:val="white"/>
        </w:rPr>
        <w:t>To achieve this goal, t</w:t>
      </w:r>
      <w:r w:rsidR="00C15E7F" w:rsidRPr="0072513E">
        <w:rPr>
          <w:rFonts w:ascii="Arial" w:eastAsia="Arial" w:hAnsi="Arial" w:cs="Arial"/>
          <w:color w:val="333333"/>
          <w:highlight w:val="white"/>
        </w:rPr>
        <w:t xml:space="preserve">he Commission will </w:t>
      </w:r>
      <w:r>
        <w:rPr>
          <w:rFonts w:ascii="Arial" w:eastAsia="Arial" w:hAnsi="Arial" w:cs="Arial"/>
          <w:color w:val="333333"/>
          <w:highlight w:val="white"/>
        </w:rPr>
        <w:t xml:space="preserve">encourage </w:t>
      </w:r>
      <w:r w:rsidR="00C15E7F" w:rsidRPr="0072513E">
        <w:rPr>
          <w:rFonts w:ascii="Arial" w:eastAsia="Arial" w:hAnsi="Arial" w:cs="Arial"/>
          <w:color w:val="333333"/>
          <w:highlight w:val="white"/>
        </w:rPr>
        <w:t>connect</w:t>
      </w:r>
      <w:r>
        <w:rPr>
          <w:rFonts w:ascii="Arial" w:eastAsia="Arial" w:hAnsi="Arial" w:cs="Arial"/>
          <w:color w:val="333333"/>
          <w:highlight w:val="white"/>
        </w:rPr>
        <w:t>ion among</w:t>
      </w:r>
      <w:r w:rsidR="00C15E7F" w:rsidRPr="0072513E">
        <w:rPr>
          <w:rFonts w:ascii="Arial" w:eastAsia="Arial" w:hAnsi="Arial" w:cs="Arial"/>
          <w:color w:val="333333"/>
          <w:highlight w:val="white"/>
        </w:rPr>
        <w:t xml:space="preserve"> various stakeholders including</w:t>
      </w:r>
      <w:r w:rsidR="00355B5E">
        <w:rPr>
          <w:rFonts w:ascii="Arial" w:eastAsia="Arial" w:hAnsi="Arial" w:cs="Arial"/>
          <w:color w:val="333333"/>
          <w:highlight w:val="white"/>
        </w:rPr>
        <w:t>:</w:t>
      </w:r>
      <w:r w:rsidR="00C15E7F" w:rsidRPr="0072513E">
        <w:rPr>
          <w:rFonts w:ascii="Arial" w:eastAsia="Arial" w:hAnsi="Arial" w:cs="Arial"/>
          <w:color w:val="333333"/>
          <w:highlight w:val="white"/>
        </w:rPr>
        <w:t xml:space="preserve"> </w:t>
      </w:r>
      <w:r w:rsidR="00AE379A">
        <w:rPr>
          <w:rFonts w:ascii="Arial" w:eastAsia="Arial" w:hAnsi="Arial" w:cs="Arial"/>
          <w:color w:val="333333"/>
          <w:highlight w:val="white"/>
        </w:rPr>
        <w:t>the OST Office</w:t>
      </w:r>
      <w:r w:rsidR="00C15E7F" w:rsidRPr="0072513E">
        <w:rPr>
          <w:rFonts w:ascii="Arial" w:eastAsia="Arial" w:hAnsi="Arial" w:cs="Arial"/>
          <w:color w:val="333333"/>
          <w:highlight w:val="white"/>
        </w:rPr>
        <w:t xml:space="preserve">, District of Columbia </w:t>
      </w:r>
      <w:r w:rsidR="00B148EA">
        <w:rPr>
          <w:rFonts w:ascii="Arial" w:eastAsia="Arial" w:hAnsi="Arial" w:cs="Arial"/>
          <w:color w:val="333333"/>
          <w:highlight w:val="white"/>
        </w:rPr>
        <w:t>government a</w:t>
      </w:r>
      <w:r w:rsidR="00C15E7F" w:rsidRPr="0072513E">
        <w:rPr>
          <w:rFonts w:ascii="Arial" w:eastAsia="Arial" w:hAnsi="Arial" w:cs="Arial"/>
          <w:color w:val="333333"/>
          <w:highlight w:val="white"/>
        </w:rPr>
        <w:t>gencie</w:t>
      </w:r>
      <w:r w:rsidR="00B07D3B">
        <w:rPr>
          <w:rFonts w:ascii="Arial" w:eastAsia="Arial" w:hAnsi="Arial" w:cs="Arial"/>
          <w:color w:val="333333"/>
          <w:highlight w:val="white"/>
        </w:rPr>
        <w:t>s, non-profit entities, parents</w:t>
      </w:r>
      <w:r w:rsidR="00F33846">
        <w:rPr>
          <w:rFonts w:ascii="Arial" w:eastAsia="Arial" w:hAnsi="Arial" w:cs="Arial"/>
          <w:color w:val="333333"/>
          <w:highlight w:val="white"/>
        </w:rPr>
        <w:t>,</w:t>
      </w:r>
      <w:r w:rsidR="00C15E7F" w:rsidRPr="0072513E">
        <w:rPr>
          <w:rFonts w:ascii="Arial" w:eastAsia="Arial" w:hAnsi="Arial" w:cs="Arial"/>
          <w:color w:val="333333"/>
          <w:highlight w:val="white"/>
        </w:rPr>
        <w:t xml:space="preserve"> and youth.</w:t>
      </w:r>
      <w:bookmarkStart w:id="0" w:name="_GoBack"/>
      <w:bookmarkEnd w:id="0"/>
    </w:p>
    <w:sectPr w:rsidR="00B04E0C">
      <w:headerReference w:type="default" r:id="rId9"/>
      <w:footerReference w:type="default" r:id="rId10"/>
      <w:pgSz w:w="12240" w:h="15840"/>
      <w:pgMar w:top="907" w:right="1440" w:bottom="1440" w:left="1440" w:header="432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160E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160EC2" w16cid:durableId="1F1C0C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31" w:rsidRDefault="00F67131">
      <w:pPr>
        <w:spacing w:after="0" w:line="240" w:lineRule="auto"/>
      </w:pPr>
      <w:r>
        <w:separator/>
      </w:r>
    </w:p>
  </w:endnote>
  <w:endnote w:type="continuationSeparator" w:id="0">
    <w:p w:rsidR="00F67131" w:rsidRDefault="00F6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2B" w:rsidRDefault="00C15E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 w:rsidR="007723DC">
      <w:rPr>
        <w:rFonts w:ascii="Arial Narrow" w:eastAsia="Arial Narrow" w:hAnsi="Arial Narrow" w:cs="Arial Narrow"/>
        <w:noProof/>
        <w:color w:val="000000"/>
      </w:rPr>
      <w:t>3</w:t>
    </w:r>
    <w:r>
      <w:rPr>
        <w:rFonts w:ascii="Arial Narrow" w:eastAsia="Arial Narrow" w:hAnsi="Arial Narrow" w:cs="Arial Narrow"/>
        <w:color w:val="000000"/>
      </w:rPr>
      <w:fldChar w:fldCharType="end"/>
    </w:r>
  </w:p>
  <w:p w:rsidR="00C97F2B" w:rsidRDefault="00C97F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31" w:rsidRDefault="00F67131">
      <w:pPr>
        <w:spacing w:after="0" w:line="240" w:lineRule="auto"/>
      </w:pPr>
      <w:r>
        <w:separator/>
      </w:r>
    </w:p>
  </w:footnote>
  <w:footnote w:type="continuationSeparator" w:id="0">
    <w:p w:rsidR="00F67131" w:rsidRDefault="00F67131">
      <w:pPr>
        <w:spacing w:after="0" w:line="240" w:lineRule="auto"/>
      </w:pPr>
      <w:r>
        <w:continuationSeparator/>
      </w:r>
    </w:p>
  </w:footnote>
  <w:footnote w:id="1">
    <w:p w:rsidR="00EB0707" w:rsidRDefault="00EB0707">
      <w:pPr>
        <w:pStyle w:val="FootnoteText"/>
      </w:pPr>
      <w:r>
        <w:rPr>
          <w:rStyle w:val="FootnoteReference"/>
        </w:rPr>
        <w:footnoteRef/>
      </w:r>
      <w:r>
        <w:t xml:space="preserve"> Youth is used </w:t>
      </w:r>
      <w:r w:rsidR="004B2CD3">
        <w:t xml:space="preserve">throughout the document </w:t>
      </w:r>
      <w:r>
        <w:t xml:space="preserve">to </w:t>
      </w:r>
      <w:r w:rsidR="004B2CD3">
        <w:t xml:space="preserve">include </w:t>
      </w:r>
      <w:r>
        <w:t>children and adolescents</w:t>
      </w:r>
      <w:r w:rsidR="004B2CD3">
        <w:t xml:space="preserve"> in Kindergarten through 12</w:t>
      </w:r>
      <w:r w:rsidR="004B2CD3" w:rsidRPr="004B2CD3">
        <w:rPr>
          <w:vertAlign w:val="superscript"/>
        </w:rPr>
        <w:t>th</w:t>
      </w:r>
      <w:r w:rsidR="004B2CD3">
        <w:t xml:space="preserve"> grade.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2B" w:rsidRDefault="00C15E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790930" wp14:editId="6C622C9C">
          <wp:extent cx="1975104" cy="914400"/>
          <wp:effectExtent l="0" t="0" r="0" b="0"/>
          <wp:docPr id="8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104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30AA"/>
    <w:multiLevelType w:val="multilevel"/>
    <w:tmpl w:val="272C0E2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975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3F9D3B21"/>
    <w:multiLevelType w:val="multilevel"/>
    <w:tmpl w:val="6290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6A1209D"/>
    <w:multiLevelType w:val="multilevel"/>
    <w:tmpl w:val="9B8613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380542"/>
    <w:multiLevelType w:val="multilevel"/>
    <w:tmpl w:val="BFF00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ickey, Darby (Council)">
    <w15:presenceInfo w15:providerId="Windows Live" w15:userId="731fdb2e-7900-4746-977e-f992f7e1ea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2B"/>
    <w:rsid w:val="00005090"/>
    <w:rsid w:val="00037074"/>
    <w:rsid w:val="00045551"/>
    <w:rsid w:val="00051E92"/>
    <w:rsid w:val="000A684D"/>
    <w:rsid w:val="00106D84"/>
    <w:rsid w:val="0015561D"/>
    <w:rsid w:val="001C57DE"/>
    <w:rsid w:val="001D0B2C"/>
    <w:rsid w:val="001D7600"/>
    <w:rsid w:val="001F6650"/>
    <w:rsid w:val="00203E7C"/>
    <w:rsid w:val="00204FB1"/>
    <w:rsid w:val="00235D43"/>
    <w:rsid w:val="002640EE"/>
    <w:rsid w:val="00275B9D"/>
    <w:rsid w:val="00287FDC"/>
    <w:rsid w:val="00310A61"/>
    <w:rsid w:val="0032077A"/>
    <w:rsid w:val="0033106D"/>
    <w:rsid w:val="00355B5E"/>
    <w:rsid w:val="00371AB4"/>
    <w:rsid w:val="003F2ECD"/>
    <w:rsid w:val="004155DF"/>
    <w:rsid w:val="00433694"/>
    <w:rsid w:val="004865C6"/>
    <w:rsid w:val="004B2CD3"/>
    <w:rsid w:val="004F6BC3"/>
    <w:rsid w:val="005277A0"/>
    <w:rsid w:val="00532A0E"/>
    <w:rsid w:val="00533C38"/>
    <w:rsid w:val="0054313E"/>
    <w:rsid w:val="00566A10"/>
    <w:rsid w:val="00581043"/>
    <w:rsid w:val="005A316B"/>
    <w:rsid w:val="005D591B"/>
    <w:rsid w:val="00631C7A"/>
    <w:rsid w:val="0065342A"/>
    <w:rsid w:val="00656225"/>
    <w:rsid w:val="0072513E"/>
    <w:rsid w:val="007308C5"/>
    <w:rsid w:val="007415A6"/>
    <w:rsid w:val="00750A3A"/>
    <w:rsid w:val="00752B64"/>
    <w:rsid w:val="00770AAE"/>
    <w:rsid w:val="007723DC"/>
    <w:rsid w:val="007B1677"/>
    <w:rsid w:val="00810D09"/>
    <w:rsid w:val="0087638C"/>
    <w:rsid w:val="008864E9"/>
    <w:rsid w:val="00890524"/>
    <w:rsid w:val="0089626C"/>
    <w:rsid w:val="008B3A56"/>
    <w:rsid w:val="008D6C3E"/>
    <w:rsid w:val="008E79BF"/>
    <w:rsid w:val="00934AD4"/>
    <w:rsid w:val="00967130"/>
    <w:rsid w:val="009E0FD8"/>
    <w:rsid w:val="009E356B"/>
    <w:rsid w:val="00A32097"/>
    <w:rsid w:val="00A33F17"/>
    <w:rsid w:val="00A71BE5"/>
    <w:rsid w:val="00A81639"/>
    <w:rsid w:val="00A83C4F"/>
    <w:rsid w:val="00A93E05"/>
    <w:rsid w:val="00AE379A"/>
    <w:rsid w:val="00B04E0C"/>
    <w:rsid w:val="00B07675"/>
    <w:rsid w:val="00B07D3B"/>
    <w:rsid w:val="00B148EA"/>
    <w:rsid w:val="00B4079E"/>
    <w:rsid w:val="00B57DD6"/>
    <w:rsid w:val="00BD67EF"/>
    <w:rsid w:val="00C15E7F"/>
    <w:rsid w:val="00C74BF5"/>
    <w:rsid w:val="00C83E1D"/>
    <w:rsid w:val="00C913EF"/>
    <w:rsid w:val="00C95151"/>
    <w:rsid w:val="00C97F2B"/>
    <w:rsid w:val="00CE46C4"/>
    <w:rsid w:val="00D3781D"/>
    <w:rsid w:val="00DB03A0"/>
    <w:rsid w:val="00DD23B9"/>
    <w:rsid w:val="00DD2ABD"/>
    <w:rsid w:val="00DE6094"/>
    <w:rsid w:val="00E0067F"/>
    <w:rsid w:val="00E37B9D"/>
    <w:rsid w:val="00E47FEC"/>
    <w:rsid w:val="00E52CB7"/>
    <w:rsid w:val="00E926EF"/>
    <w:rsid w:val="00EB0707"/>
    <w:rsid w:val="00EB2E91"/>
    <w:rsid w:val="00EB5B04"/>
    <w:rsid w:val="00EE7B7C"/>
    <w:rsid w:val="00EF18C8"/>
    <w:rsid w:val="00F05329"/>
    <w:rsid w:val="00F33846"/>
    <w:rsid w:val="00F35037"/>
    <w:rsid w:val="00F46F0A"/>
    <w:rsid w:val="00F55F83"/>
    <w:rsid w:val="00F667BC"/>
    <w:rsid w:val="00F67131"/>
    <w:rsid w:val="00F91893"/>
    <w:rsid w:val="00FA2235"/>
    <w:rsid w:val="00FB0E60"/>
    <w:rsid w:val="00FC4775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3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8E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7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7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56"/>
  </w:style>
  <w:style w:type="paragraph" w:styleId="Footer">
    <w:name w:val="footer"/>
    <w:basedOn w:val="Normal"/>
    <w:link w:val="FooterChar"/>
    <w:uiPriority w:val="99"/>
    <w:unhideWhenUsed/>
    <w:rsid w:val="008B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56"/>
  </w:style>
  <w:style w:type="table" w:styleId="TableGrid">
    <w:name w:val="Table Grid"/>
    <w:basedOn w:val="TableNormal"/>
    <w:uiPriority w:val="59"/>
    <w:unhideWhenUsed/>
    <w:rsid w:val="008B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A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3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8E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7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7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56"/>
  </w:style>
  <w:style w:type="paragraph" w:styleId="Footer">
    <w:name w:val="footer"/>
    <w:basedOn w:val="Normal"/>
    <w:link w:val="FooterChar"/>
    <w:uiPriority w:val="99"/>
    <w:unhideWhenUsed/>
    <w:rsid w:val="008B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56"/>
  </w:style>
  <w:style w:type="table" w:styleId="TableGrid">
    <w:name w:val="Table Grid"/>
    <w:basedOn w:val="TableNormal"/>
    <w:uiPriority w:val="59"/>
    <w:unhideWhenUsed/>
    <w:rsid w:val="008B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B6F8-1821-4B07-9443-B0B87AD9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Yochum, Mila (EOM)</dc:creator>
  <cp:lastModifiedBy>ServUS</cp:lastModifiedBy>
  <cp:revision>3</cp:revision>
  <cp:lastPrinted>2018-09-11T16:36:00Z</cp:lastPrinted>
  <dcterms:created xsi:type="dcterms:W3CDTF">2018-09-12T19:13:00Z</dcterms:created>
  <dcterms:modified xsi:type="dcterms:W3CDTF">2018-09-12T19:15:00Z</dcterms:modified>
</cp:coreProperties>
</file>