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4F73C3">
        <w:rPr>
          <w:rFonts w:ascii="Arial" w:hAnsi="Arial" w:cs="Arial"/>
          <w:b/>
        </w:rPr>
        <w:t>September 20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93580">
        <w:rPr>
          <w:rFonts w:ascii="Arial" w:hAnsi="Arial" w:cs="Arial"/>
        </w:rPr>
        <w:t>Ju</w:t>
      </w:r>
      <w:r w:rsidR="004F73C3">
        <w:rPr>
          <w:rFonts w:ascii="Arial" w:hAnsi="Arial" w:cs="Arial"/>
        </w:rPr>
        <w:t>ly 19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32320B">
        <w:rPr>
          <w:rFonts w:ascii="Arial" w:hAnsi="Arial" w:cs="Arial"/>
        </w:rPr>
        <w:t>Regular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193580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Report on CCCB Rulemakings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F73C3">
        <w:rPr>
          <w:rFonts w:ascii="Arial" w:hAnsi="Arial" w:cs="Arial"/>
        </w:rPr>
        <w:t>October 18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34D2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F73C3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748B-5056-4E0E-8FAB-BEA60030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2018-09-14T00:08:00Z</dcterms:created>
  <dcterms:modified xsi:type="dcterms:W3CDTF">2018-09-14T00:10:00Z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