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C4" w:rsidRDefault="006716C4" w:rsidP="00661BB0">
      <w:pPr>
        <w:spacing w:line="312" w:lineRule="auto"/>
        <w:jc w:val="center"/>
      </w:pPr>
      <w:r>
        <w:t>Government of the District of Columbia</w:t>
      </w:r>
    </w:p>
    <w:p w:rsidR="00661BB0" w:rsidRDefault="00EE4F96" w:rsidP="00661BB0">
      <w:pPr>
        <w:spacing w:line="312" w:lineRule="auto"/>
        <w:jc w:val="center"/>
      </w:pPr>
      <w:r>
        <w:t>Commission on As</w:t>
      </w:r>
      <w:r w:rsidR="00EA03A9">
        <w:t>ian and Pacific Islander Community Development</w:t>
      </w:r>
    </w:p>
    <w:p w:rsidR="00661BB0" w:rsidRDefault="00B50439" w:rsidP="00E025C7">
      <w:pPr>
        <w:spacing w:line="312" w:lineRule="auto"/>
        <w:jc w:val="center"/>
      </w:pPr>
      <w:r>
        <w:t>Wednesday,</w:t>
      </w:r>
      <w:r w:rsidR="007A5207">
        <w:t xml:space="preserve"> </w:t>
      </w:r>
      <w:r w:rsidR="00D573A9">
        <w:t>November 15</w:t>
      </w:r>
      <w:r w:rsidR="001C630B">
        <w:t>,</w:t>
      </w:r>
      <w:r w:rsidR="00195945">
        <w:t xml:space="preserve"> </w:t>
      </w:r>
      <w:r w:rsidR="00857AAB">
        <w:t>2017</w:t>
      </w:r>
      <w:r w:rsidR="00661BB0">
        <w:t xml:space="preserve"> </w:t>
      </w:r>
      <w:r w:rsidR="00FE5CD4">
        <w:t xml:space="preserve">at </w:t>
      </w:r>
      <w:r w:rsidR="00661BB0">
        <w:t>6:30pm</w:t>
      </w:r>
    </w:p>
    <w:p w:rsidR="00661BB0" w:rsidRDefault="00EE4F96" w:rsidP="00661BB0">
      <w:pPr>
        <w:spacing w:line="312" w:lineRule="auto"/>
        <w:jc w:val="center"/>
      </w:pPr>
      <w:r>
        <w:t>Mayor’s Office on Asian and Pacific Islander Affairs</w:t>
      </w:r>
    </w:p>
    <w:p w:rsidR="00EE4F96" w:rsidRDefault="00EE4F96" w:rsidP="00661BB0">
      <w:pPr>
        <w:spacing w:line="312" w:lineRule="auto"/>
        <w:jc w:val="center"/>
      </w:pPr>
      <w:r>
        <w:t>441 4</w:t>
      </w:r>
      <w:r w:rsidRPr="00EE4F96">
        <w:rPr>
          <w:vertAlign w:val="superscript"/>
        </w:rPr>
        <w:t>th</w:t>
      </w:r>
      <w:r>
        <w:t xml:space="preserve"> St NW, Suite 721 North</w:t>
      </w:r>
    </w:p>
    <w:p w:rsidR="00661BB0" w:rsidRDefault="00EE4F96" w:rsidP="00BD59B0">
      <w:pPr>
        <w:spacing w:line="312" w:lineRule="auto"/>
        <w:jc w:val="center"/>
      </w:pPr>
      <w:r>
        <w:t>Washington, DC</w:t>
      </w:r>
    </w:p>
    <w:p w:rsidR="00661BB0" w:rsidRDefault="00661BB0" w:rsidP="00661BB0">
      <w:pPr>
        <w:spacing w:line="312" w:lineRule="auto"/>
        <w:jc w:val="center"/>
      </w:pPr>
    </w:p>
    <w:p w:rsidR="00E154DD" w:rsidRPr="00E154DD" w:rsidRDefault="00E154DD" w:rsidP="005F5ED9">
      <w:pPr>
        <w:rPr>
          <w:rFonts w:ascii="Calibri" w:eastAsia="Malgun Gothic" w:hAnsi="Calibri" w:cs="Times New Roman"/>
          <w:color w:val="auto"/>
          <w:sz w:val="22"/>
          <w:szCs w:val="22"/>
        </w:rPr>
      </w:pPr>
    </w:p>
    <w:p w:rsidR="00E154DD" w:rsidRPr="001924F4" w:rsidRDefault="00E154DD" w:rsidP="00E154DD">
      <w:pPr>
        <w:numPr>
          <w:ilvl w:val="0"/>
          <w:numId w:val="32"/>
        </w:numPr>
        <w:spacing w:after="200"/>
        <w:contextualSpacing/>
        <w:rPr>
          <w:rFonts w:ascii="Calibri" w:eastAsia="Malgun Gothic" w:hAnsi="Calibri" w:cs="Times New Roman"/>
          <w:b/>
          <w:color w:val="auto"/>
          <w:sz w:val="22"/>
          <w:szCs w:val="22"/>
        </w:rPr>
      </w:pPr>
      <w:r w:rsidRPr="001924F4">
        <w:rPr>
          <w:rFonts w:ascii="Calibri" w:eastAsia="Malgun Gothic" w:hAnsi="Calibri" w:cs="Times New Roman"/>
          <w:b/>
          <w:color w:val="auto"/>
          <w:sz w:val="22"/>
          <w:szCs w:val="22"/>
        </w:rPr>
        <w:t>Welcome/Introductions</w:t>
      </w:r>
    </w:p>
    <w:p w:rsidR="00E154DD" w:rsidRPr="001924F4" w:rsidRDefault="00E154DD" w:rsidP="00E154DD">
      <w:pPr>
        <w:numPr>
          <w:ilvl w:val="1"/>
          <w:numId w:val="32"/>
        </w:numPr>
        <w:spacing w:after="200"/>
        <w:contextualSpacing/>
        <w:rPr>
          <w:rFonts w:ascii="Calibri" w:eastAsia="Malgun Gothic" w:hAnsi="Calibri" w:cs="Times New Roman"/>
          <w:color w:val="auto"/>
          <w:sz w:val="22"/>
          <w:szCs w:val="22"/>
        </w:rPr>
      </w:pPr>
      <w:r w:rsidRPr="001924F4">
        <w:rPr>
          <w:rFonts w:ascii="Calibri" w:eastAsia="Malgun Gothic" w:hAnsi="Calibri" w:cs="Times New Roman"/>
          <w:color w:val="auto"/>
          <w:sz w:val="22"/>
          <w:szCs w:val="22"/>
        </w:rPr>
        <w:t xml:space="preserve">Meeting was opened by </w:t>
      </w:r>
      <w:r w:rsidR="00933F3C">
        <w:rPr>
          <w:rFonts w:ascii="Calibri" w:eastAsia="Malgun Gothic" w:hAnsi="Calibri" w:cs="Times New Roman"/>
          <w:color w:val="auto"/>
          <w:sz w:val="22"/>
          <w:szCs w:val="22"/>
        </w:rPr>
        <w:t>Chair John Tinpe</w:t>
      </w:r>
    </w:p>
    <w:p w:rsidR="00E154DD" w:rsidRPr="001924F4" w:rsidRDefault="00E154DD" w:rsidP="00E154DD">
      <w:pPr>
        <w:numPr>
          <w:ilvl w:val="1"/>
          <w:numId w:val="32"/>
        </w:numPr>
        <w:spacing w:after="200"/>
        <w:contextualSpacing/>
        <w:rPr>
          <w:rFonts w:ascii="Calibri" w:eastAsia="Malgun Gothic" w:hAnsi="Calibri" w:cs="Times New Roman"/>
          <w:color w:val="auto"/>
          <w:sz w:val="22"/>
          <w:szCs w:val="22"/>
        </w:rPr>
      </w:pPr>
      <w:r w:rsidRPr="001924F4">
        <w:rPr>
          <w:rFonts w:ascii="Calibri" w:eastAsia="Malgun Gothic" w:hAnsi="Calibri" w:cs="Times New Roman"/>
          <w:color w:val="auto"/>
          <w:sz w:val="22"/>
          <w:szCs w:val="22"/>
        </w:rPr>
        <w:t xml:space="preserve">Commissioners offered introductions.  In attendance:  </w:t>
      </w:r>
    </w:p>
    <w:p w:rsidR="00E154DD" w:rsidRPr="001924F4" w:rsidRDefault="00E154DD" w:rsidP="00E154DD">
      <w:pPr>
        <w:numPr>
          <w:ilvl w:val="2"/>
          <w:numId w:val="32"/>
        </w:numPr>
        <w:spacing w:after="200"/>
        <w:contextualSpacing/>
        <w:rPr>
          <w:rFonts w:ascii="Calibri" w:eastAsia="Malgun Gothic" w:hAnsi="Calibri" w:cs="Times New Roman"/>
          <w:color w:val="auto"/>
          <w:sz w:val="22"/>
          <w:szCs w:val="22"/>
        </w:rPr>
      </w:pPr>
      <w:r w:rsidRPr="001924F4">
        <w:rPr>
          <w:rFonts w:ascii="Calibri" w:eastAsia="Malgun Gothic" w:hAnsi="Calibri" w:cs="Times New Roman"/>
          <w:color w:val="auto"/>
          <w:sz w:val="22"/>
          <w:szCs w:val="22"/>
        </w:rPr>
        <w:t>CAPIA</w:t>
      </w:r>
    </w:p>
    <w:p w:rsidR="00D573A9" w:rsidRDefault="00E154DD" w:rsidP="00E154DD">
      <w:pPr>
        <w:numPr>
          <w:ilvl w:val="3"/>
          <w:numId w:val="32"/>
        </w:numPr>
        <w:spacing w:after="200"/>
        <w:contextualSpacing/>
        <w:rPr>
          <w:rFonts w:ascii="Calibri" w:eastAsia="Malgun Gothic" w:hAnsi="Calibri" w:cs="Times New Roman"/>
          <w:color w:val="auto"/>
          <w:sz w:val="22"/>
          <w:szCs w:val="22"/>
        </w:rPr>
      </w:pPr>
      <w:r w:rsidRPr="001924F4">
        <w:rPr>
          <w:rFonts w:ascii="Calibri" w:eastAsia="Malgun Gothic" w:hAnsi="Calibri" w:cs="Times New Roman"/>
          <w:color w:val="auto"/>
          <w:sz w:val="22"/>
          <w:szCs w:val="22"/>
        </w:rPr>
        <w:t xml:space="preserve">Ben Takai; </w:t>
      </w:r>
      <w:r w:rsidR="00933F3C">
        <w:rPr>
          <w:rFonts w:ascii="Calibri" w:eastAsia="Malgun Gothic" w:hAnsi="Calibri" w:cs="Times New Roman"/>
          <w:color w:val="auto"/>
          <w:sz w:val="22"/>
          <w:szCs w:val="22"/>
        </w:rPr>
        <w:t>Jennifer Hara</w:t>
      </w:r>
      <w:r w:rsidR="00D573A9">
        <w:rPr>
          <w:rFonts w:ascii="Calibri" w:eastAsia="Malgun Gothic" w:hAnsi="Calibri" w:cs="Times New Roman"/>
          <w:color w:val="auto"/>
          <w:sz w:val="22"/>
          <w:szCs w:val="22"/>
        </w:rPr>
        <w:t xml:space="preserve">; Kishan </w:t>
      </w:r>
      <w:proofErr w:type="spellStart"/>
      <w:r w:rsidR="00D573A9">
        <w:rPr>
          <w:rFonts w:ascii="Calibri" w:eastAsia="Malgun Gothic" w:hAnsi="Calibri" w:cs="Times New Roman"/>
          <w:color w:val="auto"/>
          <w:sz w:val="22"/>
          <w:szCs w:val="22"/>
        </w:rPr>
        <w:t>Putta</w:t>
      </w:r>
      <w:proofErr w:type="spellEnd"/>
      <w:r w:rsidR="00933F3C">
        <w:rPr>
          <w:rFonts w:ascii="Calibri" w:eastAsia="Malgun Gothic" w:hAnsi="Calibri" w:cs="Times New Roman"/>
          <w:color w:val="auto"/>
          <w:sz w:val="22"/>
          <w:szCs w:val="22"/>
        </w:rPr>
        <w:t xml:space="preserve">; </w:t>
      </w:r>
      <w:r w:rsidR="00D573A9">
        <w:rPr>
          <w:rFonts w:ascii="Calibri" w:eastAsia="Malgun Gothic" w:hAnsi="Calibri" w:cs="Times New Roman"/>
          <w:color w:val="auto"/>
          <w:sz w:val="22"/>
          <w:szCs w:val="22"/>
        </w:rPr>
        <w:t xml:space="preserve"> John Tinpe</w:t>
      </w:r>
      <w:r w:rsidR="00933F3C">
        <w:rPr>
          <w:rFonts w:ascii="Calibri" w:eastAsia="Malgun Gothic" w:hAnsi="Calibri" w:cs="Times New Roman"/>
          <w:color w:val="auto"/>
          <w:sz w:val="22"/>
          <w:szCs w:val="22"/>
        </w:rPr>
        <w:t xml:space="preserve">; </w:t>
      </w:r>
      <w:r w:rsidR="007A5207">
        <w:rPr>
          <w:rFonts w:ascii="Calibri" w:eastAsia="Malgun Gothic" w:hAnsi="Calibri" w:cs="Times New Roman"/>
          <w:color w:val="auto"/>
          <w:sz w:val="22"/>
          <w:szCs w:val="22"/>
        </w:rPr>
        <w:t xml:space="preserve">Martha Watanabe; Helen Lee; Gregory </w:t>
      </w:r>
      <w:proofErr w:type="spellStart"/>
      <w:r w:rsidR="007A5207">
        <w:rPr>
          <w:rFonts w:ascii="Calibri" w:eastAsia="Malgun Gothic" w:hAnsi="Calibri" w:cs="Times New Roman"/>
          <w:color w:val="auto"/>
          <w:sz w:val="22"/>
          <w:szCs w:val="22"/>
        </w:rPr>
        <w:t>Cendana</w:t>
      </w:r>
      <w:proofErr w:type="spellEnd"/>
      <w:r w:rsidR="007A5207">
        <w:rPr>
          <w:rFonts w:ascii="Calibri" w:eastAsia="Malgun Gothic" w:hAnsi="Calibri" w:cs="Times New Roman"/>
          <w:color w:val="auto"/>
          <w:sz w:val="22"/>
          <w:szCs w:val="22"/>
        </w:rPr>
        <w:t xml:space="preserve">; </w:t>
      </w:r>
      <w:proofErr w:type="spellStart"/>
      <w:r w:rsidR="007A5207">
        <w:rPr>
          <w:rFonts w:ascii="Calibri" w:eastAsia="Malgun Gothic" w:hAnsi="Calibri" w:cs="Times New Roman"/>
          <w:color w:val="auto"/>
          <w:sz w:val="22"/>
          <w:szCs w:val="22"/>
        </w:rPr>
        <w:t>Meina</w:t>
      </w:r>
      <w:proofErr w:type="spellEnd"/>
      <w:r w:rsidR="007A5207">
        <w:rPr>
          <w:rFonts w:ascii="Calibri" w:eastAsia="Malgun Gothic" w:hAnsi="Calibri" w:cs="Times New Roman"/>
          <w:color w:val="auto"/>
          <w:sz w:val="22"/>
          <w:szCs w:val="22"/>
        </w:rPr>
        <w:t xml:space="preserve"> Banh</w:t>
      </w:r>
      <w:r w:rsidR="00D573A9">
        <w:rPr>
          <w:rFonts w:ascii="Calibri" w:eastAsia="Malgun Gothic" w:hAnsi="Calibri" w:cs="Times New Roman"/>
          <w:color w:val="auto"/>
          <w:sz w:val="22"/>
          <w:szCs w:val="22"/>
        </w:rPr>
        <w:t xml:space="preserve">; </w:t>
      </w:r>
      <w:proofErr w:type="spellStart"/>
      <w:r w:rsidR="00D573A9">
        <w:rPr>
          <w:rFonts w:ascii="Calibri" w:eastAsia="Malgun Gothic" w:hAnsi="Calibri" w:cs="Times New Roman"/>
          <w:color w:val="auto"/>
          <w:sz w:val="22"/>
          <w:szCs w:val="22"/>
        </w:rPr>
        <w:t>Ronak</w:t>
      </w:r>
      <w:proofErr w:type="spellEnd"/>
      <w:r w:rsidR="00D573A9">
        <w:rPr>
          <w:rFonts w:ascii="Calibri" w:eastAsia="Malgun Gothic" w:hAnsi="Calibri" w:cs="Times New Roman"/>
          <w:color w:val="auto"/>
          <w:sz w:val="22"/>
          <w:szCs w:val="22"/>
        </w:rPr>
        <w:t xml:space="preserve"> Desai; Julie Won;</w:t>
      </w:r>
    </w:p>
    <w:p w:rsidR="00E154DD" w:rsidRPr="001924F4" w:rsidRDefault="00D573A9" w:rsidP="00D573A9">
      <w:pPr>
        <w:spacing w:after="200"/>
        <w:ind w:left="2520"/>
        <w:contextualSpacing/>
        <w:rPr>
          <w:rFonts w:ascii="Calibri" w:eastAsia="Malgun Gothic" w:hAnsi="Calibri" w:cs="Times New Roman"/>
          <w:color w:val="auto"/>
          <w:sz w:val="22"/>
          <w:szCs w:val="22"/>
        </w:rPr>
      </w:pPr>
      <w:proofErr w:type="spellStart"/>
      <w:r>
        <w:rPr>
          <w:rFonts w:ascii="Calibri" w:eastAsia="Malgun Gothic" w:hAnsi="Calibri" w:cs="Times New Roman"/>
          <w:color w:val="auto"/>
          <w:sz w:val="22"/>
          <w:szCs w:val="22"/>
        </w:rPr>
        <w:t>Easten</w:t>
      </w:r>
      <w:proofErr w:type="spellEnd"/>
      <w:r>
        <w:rPr>
          <w:rFonts w:ascii="Calibri" w:eastAsia="Malgun Gothic" w:hAnsi="Calibri" w:cs="Times New Roman"/>
          <w:color w:val="auto"/>
          <w:sz w:val="22"/>
          <w:szCs w:val="22"/>
        </w:rPr>
        <w:t xml:space="preserve"> Law; Niranjan Adhikari; Elena Son</w:t>
      </w:r>
    </w:p>
    <w:p w:rsidR="00E154DD" w:rsidRPr="001924F4" w:rsidRDefault="00E154DD" w:rsidP="00E154DD">
      <w:pPr>
        <w:numPr>
          <w:ilvl w:val="2"/>
          <w:numId w:val="32"/>
        </w:numPr>
        <w:spacing w:after="200"/>
        <w:contextualSpacing/>
        <w:rPr>
          <w:rFonts w:ascii="Calibri" w:eastAsia="Malgun Gothic" w:hAnsi="Calibri" w:cs="Times New Roman"/>
          <w:color w:val="auto"/>
          <w:sz w:val="22"/>
          <w:szCs w:val="22"/>
        </w:rPr>
      </w:pPr>
      <w:r w:rsidRPr="001924F4">
        <w:rPr>
          <w:rFonts w:ascii="Calibri" w:eastAsia="Malgun Gothic" w:hAnsi="Calibri" w:cs="Times New Roman"/>
          <w:color w:val="auto"/>
          <w:sz w:val="22"/>
          <w:szCs w:val="22"/>
        </w:rPr>
        <w:t xml:space="preserve">MOAPIA </w:t>
      </w:r>
    </w:p>
    <w:p w:rsidR="00E154DD" w:rsidRDefault="00D573A9" w:rsidP="00E154DD">
      <w:pPr>
        <w:numPr>
          <w:ilvl w:val="3"/>
          <w:numId w:val="32"/>
        </w:numPr>
        <w:spacing w:after="200"/>
        <w:contextualSpacing/>
        <w:rPr>
          <w:rFonts w:ascii="Calibri" w:eastAsia="Malgun Gothic" w:hAnsi="Calibri" w:cs="Times New Roman"/>
          <w:color w:val="auto"/>
          <w:sz w:val="22"/>
          <w:szCs w:val="22"/>
        </w:rPr>
      </w:pPr>
      <w:r>
        <w:rPr>
          <w:rFonts w:ascii="Calibri" w:eastAsia="Malgun Gothic" w:hAnsi="Calibri" w:cs="Times New Roman"/>
          <w:color w:val="auto"/>
          <w:sz w:val="22"/>
          <w:szCs w:val="22"/>
        </w:rPr>
        <w:t>Phuong Nguyen</w:t>
      </w:r>
    </w:p>
    <w:p w:rsidR="007A5207" w:rsidRDefault="00D573A9" w:rsidP="007A5207">
      <w:pPr>
        <w:numPr>
          <w:ilvl w:val="2"/>
          <w:numId w:val="32"/>
        </w:numPr>
        <w:spacing w:after="200"/>
        <w:contextualSpacing/>
        <w:rPr>
          <w:rFonts w:ascii="Calibri" w:eastAsia="Malgun Gothic" w:hAnsi="Calibri" w:cs="Times New Roman"/>
          <w:color w:val="auto"/>
          <w:sz w:val="22"/>
          <w:szCs w:val="22"/>
        </w:rPr>
      </w:pPr>
      <w:r>
        <w:rPr>
          <w:rFonts w:ascii="Calibri" w:eastAsia="Malgun Gothic" w:hAnsi="Calibri" w:cs="Times New Roman"/>
          <w:color w:val="auto"/>
          <w:sz w:val="22"/>
          <w:szCs w:val="22"/>
        </w:rPr>
        <w:t>DC Office of Human Rights</w:t>
      </w:r>
    </w:p>
    <w:p w:rsidR="00D573A9" w:rsidRDefault="00D573A9" w:rsidP="00D573A9">
      <w:pPr>
        <w:numPr>
          <w:ilvl w:val="3"/>
          <w:numId w:val="32"/>
        </w:numPr>
        <w:spacing w:after="200"/>
        <w:contextualSpacing/>
        <w:rPr>
          <w:rFonts w:ascii="Calibri" w:eastAsia="Malgun Gothic" w:hAnsi="Calibri" w:cs="Times New Roman"/>
          <w:color w:val="auto"/>
          <w:sz w:val="22"/>
          <w:szCs w:val="22"/>
        </w:rPr>
      </w:pPr>
      <w:r>
        <w:rPr>
          <w:rFonts w:ascii="Calibri" w:eastAsia="Malgun Gothic" w:hAnsi="Calibri" w:cs="Times New Roman"/>
          <w:color w:val="auto"/>
          <w:sz w:val="22"/>
          <w:szCs w:val="22"/>
        </w:rPr>
        <w:t>Monica Palacio; Winta Teferi</w:t>
      </w:r>
    </w:p>
    <w:p w:rsidR="007A5207" w:rsidRDefault="007A5207" w:rsidP="007A5207">
      <w:pPr>
        <w:numPr>
          <w:ilvl w:val="3"/>
          <w:numId w:val="32"/>
        </w:numPr>
        <w:spacing w:after="200"/>
        <w:contextualSpacing/>
        <w:rPr>
          <w:rFonts w:ascii="Calibri" w:eastAsia="Malgun Gothic" w:hAnsi="Calibri" w:cs="Times New Roman"/>
          <w:color w:val="auto"/>
          <w:sz w:val="22"/>
          <w:szCs w:val="22"/>
        </w:rPr>
      </w:pPr>
      <w:r>
        <w:rPr>
          <w:rFonts w:ascii="Calibri" w:eastAsia="Malgun Gothic" w:hAnsi="Calibri" w:cs="Times New Roman"/>
          <w:color w:val="auto"/>
          <w:sz w:val="22"/>
          <w:szCs w:val="22"/>
        </w:rPr>
        <w:t>Laura Williams; Matthew</w:t>
      </w:r>
    </w:p>
    <w:p w:rsidR="005D34C7" w:rsidRPr="001924F4" w:rsidRDefault="005D34C7" w:rsidP="00661BB0">
      <w:pPr>
        <w:spacing w:line="312" w:lineRule="auto"/>
        <w:rPr>
          <w:rFonts w:ascii="Calibri" w:hAnsi="Calibri"/>
          <w:sz w:val="22"/>
          <w:szCs w:val="22"/>
        </w:rPr>
      </w:pPr>
    </w:p>
    <w:p w:rsidR="00E154DD" w:rsidRDefault="00D573A9" w:rsidP="00E154DD">
      <w:pPr>
        <w:numPr>
          <w:ilvl w:val="0"/>
          <w:numId w:val="32"/>
        </w:numPr>
        <w:spacing w:after="200"/>
        <w:contextualSpacing/>
        <w:rPr>
          <w:rFonts w:ascii="Calibri" w:eastAsia="Malgun Gothic" w:hAnsi="Calibri" w:cs="Times New Roman"/>
          <w:b/>
          <w:color w:val="auto"/>
          <w:sz w:val="22"/>
          <w:szCs w:val="22"/>
        </w:rPr>
      </w:pPr>
      <w:r>
        <w:rPr>
          <w:rFonts w:ascii="Calibri" w:eastAsia="Malgun Gothic" w:hAnsi="Calibri" w:cs="Times New Roman"/>
          <w:b/>
          <w:color w:val="auto"/>
          <w:sz w:val="22"/>
          <w:szCs w:val="22"/>
        </w:rPr>
        <w:t>Guest Speaker – Office of Human Rights</w:t>
      </w:r>
    </w:p>
    <w:p w:rsidR="007A5207" w:rsidRDefault="00D573A9" w:rsidP="007A5207">
      <w:pPr>
        <w:numPr>
          <w:ilvl w:val="1"/>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u w:val="single"/>
        </w:rPr>
        <w:t>Monica Palacio- Director</w:t>
      </w:r>
    </w:p>
    <w:p w:rsidR="00D573A9" w:rsidRPr="00D573A9" w:rsidRDefault="00D573A9" w:rsidP="00D573A9">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Director Palacio discussed the mission of the Office of Human Rights (OHR) which includes investigating claims for housing, education and public security.</w:t>
      </w:r>
    </w:p>
    <w:p w:rsidR="00D573A9" w:rsidRPr="00D573A9" w:rsidRDefault="00D573A9" w:rsidP="00D573A9">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Director Palacio went over the detailed protocol of how cases are submitted and addressed by OHR, specifically underlining the process for reporting bias incidents and hate crimes.</w:t>
      </w:r>
    </w:p>
    <w:p w:rsidR="00D573A9" w:rsidRPr="00D573A9" w:rsidRDefault="00D573A9" w:rsidP="00D573A9">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Director Palacio detailed how every case is reviewed and referred to mediation and half of those cases are solved in that process and therefore do not have to warrant a full investigation.</w:t>
      </w:r>
    </w:p>
    <w:p w:rsidR="00D573A9" w:rsidRPr="00D573A9" w:rsidRDefault="00D573A9" w:rsidP="00D573A9">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Commissioner Tinpe asked about specific examples of bias incidents that OHR investigates, using a recent example of defacing public works in Chinatown.</w:t>
      </w:r>
    </w:p>
    <w:p w:rsidR="00D573A9" w:rsidRPr="00D573A9" w:rsidRDefault="00D573A9" w:rsidP="00D573A9">
      <w:pPr>
        <w:numPr>
          <w:ilvl w:val="3"/>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Director Palacio said that aggregate data on types of bias incidents are reported annually by OHR.</w:t>
      </w:r>
    </w:p>
    <w:p w:rsidR="00D573A9" w:rsidRPr="00D573A9" w:rsidRDefault="00D573A9" w:rsidP="00D573A9">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Commissioner Banh asked what kind of outreach is done to inform the public about the scope of the work that OHR does.</w:t>
      </w:r>
    </w:p>
    <w:p w:rsidR="00D573A9" w:rsidRPr="00427800" w:rsidRDefault="00D573A9" w:rsidP="00D573A9">
      <w:pPr>
        <w:numPr>
          <w:ilvl w:val="3"/>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 xml:space="preserve">Director Teferi spoke about how outreach is accomplished through partnering with third party organizations that are trusted by community members.  This can include participating in civic events, fairs, and religious celebrations.  She also impressed upon the commission that interpreters are provided in person when available for all mediation process and are hired through city wide contracts. </w:t>
      </w:r>
    </w:p>
    <w:p w:rsidR="00427800" w:rsidRPr="00427800" w:rsidRDefault="00427800" w:rsidP="00427800">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Commissioner Desai asked what the investigation process entails</w:t>
      </w:r>
    </w:p>
    <w:p w:rsidR="00427800" w:rsidRPr="00A24C47" w:rsidRDefault="00427800" w:rsidP="00427800">
      <w:pPr>
        <w:numPr>
          <w:ilvl w:val="3"/>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 xml:space="preserve">Director Palacio went through the process of creating position statements from the complainant and respondent detailing the issue in question along </w:t>
      </w:r>
      <w:r>
        <w:rPr>
          <w:rFonts w:ascii="Calibri" w:eastAsia="Malgun Gothic" w:hAnsi="Calibri" w:cs="Times New Roman"/>
          <w:color w:val="auto"/>
          <w:sz w:val="22"/>
          <w:szCs w:val="22"/>
        </w:rPr>
        <w:lastRenderedPageBreak/>
        <w:t>with the submission of any supporting documents or evidence. Letters of determination are then produced and reviewed by Director Palacio. Both parties are offered conciliation again before any final decisions by Director Palacio and if conciliation isn’t achieved the case is referred to a tribunal commission for further action.</w:t>
      </w:r>
    </w:p>
    <w:p w:rsidR="00A24C47" w:rsidRPr="00A24C47" w:rsidRDefault="00A24C47" w:rsidP="00A24C47">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 xml:space="preserve">Commissioner </w:t>
      </w:r>
      <w:proofErr w:type="spellStart"/>
      <w:r>
        <w:rPr>
          <w:rFonts w:ascii="Calibri" w:eastAsia="Malgun Gothic" w:hAnsi="Calibri" w:cs="Times New Roman"/>
          <w:color w:val="auto"/>
          <w:sz w:val="22"/>
          <w:szCs w:val="22"/>
        </w:rPr>
        <w:t>TInpe</w:t>
      </w:r>
      <w:proofErr w:type="spellEnd"/>
      <w:r>
        <w:rPr>
          <w:rFonts w:ascii="Calibri" w:eastAsia="Malgun Gothic" w:hAnsi="Calibri" w:cs="Times New Roman"/>
          <w:color w:val="auto"/>
          <w:sz w:val="22"/>
          <w:szCs w:val="22"/>
        </w:rPr>
        <w:t xml:space="preserve"> asked how the District addresses government contractors who choose not to comply with the “Ban the Box” policy of having employers not ask about prior incarceration status.</w:t>
      </w:r>
    </w:p>
    <w:p w:rsidR="00A24C47" w:rsidRPr="00A24C47" w:rsidRDefault="00A24C47" w:rsidP="00A24C47">
      <w:pPr>
        <w:numPr>
          <w:ilvl w:val="3"/>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Director Palacio said there is no current enforcement in place.</w:t>
      </w:r>
    </w:p>
    <w:p w:rsidR="00A24C47" w:rsidRPr="00A24C47" w:rsidRDefault="00A24C47" w:rsidP="00A24C47">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 xml:space="preserve">Ms. Nguyen asked what </w:t>
      </w:r>
      <w:proofErr w:type="gramStart"/>
      <w:r>
        <w:rPr>
          <w:rFonts w:ascii="Calibri" w:eastAsia="Malgun Gothic" w:hAnsi="Calibri" w:cs="Times New Roman"/>
          <w:color w:val="auto"/>
          <w:sz w:val="22"/>
          <w:szCs w:val="22"/>
        </w:rPr>
        <w:t>are the trends in hate crimes</w:t>
      </w:r>
      <w:proofErr w:type="gramEnd"/>
      <w:r>
        <w:rPr>
          <w:rFonts w:ascii="Calibri" w:eastAsia="Malgun Gothic" w:hAnsi="Calibri" w:cs="Times New Roman"/>
          <w:color w:val="auto"/>
          <w:sz w:val="22"/>
          <w:szCs w:val="22"/>
        </w:rPr>
        <w:t xml:space="preserve"> in the past year.</w:t>
      </w:r>
    </w:p>
    <w:p w:rsidR="00A24C47" w:rsidRPr="00A24C47" w:rsidRDefault="00A24C47" w:rsidP="00A24C47">
      <w:pPr>
        <w:numPr>
          <w:ilvl w:val="3"/>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 xml:space="preserve">Director Palacio said that in FY16 there were upward trends in anti LGBT, anti Semitic crimes in particular being reported.  </w:t>
      </w:r>
    </w:p>
    <w:p w:rsidR="00A24C47" w:rsidRPr="00A24C47" w:rsidRDefault="00A24C47" w:rsidP="00A24C47">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Commissioner Adhikari asked if country of origin was a protected trait under the auspices of OHR.</w:t>
      </w:r>
    </w:p>
    <w:p w:rsidR="00A24C47" w:rsidRPr="00A24C47" w:rsidRDefault="00A24C47" w:rsidP="00A24C47">
      <w:pPr>
        <w:numPr>
          <w:ilvl w:val="3"/>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Director Palacio said that country of origin was a protected trait but they were also trying to add “immigrant status” to that list.</w:t>
      </w:r>
    </w:p>
    <w:p w:rsidR="00A24C47" w:rsidRPr="00A24C47" w:rsidRDefault="00A24C47" w:rsidP="00A24C47">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Commissioner Namkung asked about ways that OHR can reach out to immigrant communities</w:t>
      </w:r>
    </w:p>
    <w:p w:rsidR="00A24C47" w:rsidRPr="00A24C47" w:rsidRDefault="00A24C47" w:rsidP="00A24C47">
      <w:pPr>
        <w:numPr>
          <w:ilvl w:val="3"/>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 xml:space="preserve">Director Palacio reiterated the outreach being done by OHR to third party community organizations. </w:t>
      </w:r>
    </w:p>
    <w:p w:rsidR="00A24C47" w:rsidRPr="00A24C47" w:rsidRDefault="00A24C47" w:rsidP="00A24C47">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Commissioner Banh asked about how OHR ensures accurate translation services.</w:t>
      </w:r>
    </w:p>
    <w:p w:rsidR="00A24C47" w:rsidRPr="00A24C47" w:rsidRDefault="00A24C47" w:rsidP="00A24C47">
      <w:pPr>
        <w:numPr>
          <w:ilvl w:val="3"/>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Director Teferi said that the responsibility is on the third party vendors but if persons feel that their translation services were not accurate that they could always have their cases reviewed and reopened</w:t>
      </w:r>
    </w:p>
    <w:p w:rsidR="00A24C47" w:rsidRPr="00A24C47" w:rsidRDefault="00A24C47" w:rsidP="00A24C47">
      <w:pPr>
        <w:numPr>
          <w:ilvl w:val="2"/>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 xml:space="preserve">Director Palacio </w:t>
      </w:r>
      <w:proofErr w:type="gramStart"/>
      <w:r>
        <w:rPr>
          <w:rFonts w:ascii="Calibri" w:eastAsia="Malgun Gothic" w:hAnsi="Calibri" w:cs="Times New Roman"/>
          <w:color w:val="auto"/>
          <w:sz w:val="22"/>
          <w:szCs w:val="22"/>
        </w:rPr>
        <w:t>announce</w:t>
      </w:r>
      <w:proofErr w:type="gramEnd"/>
      <w:r>
        <w:rPr>
          <w:rFonts w:ascii="Calibri" w:eastAsia="Malgun Gothic" w:hAnsi="Calibri" w:cs="Times New Roman"/>
          <w:color w:val="auto"/>
          <w:sz w:val="22"/>
          <w:szCs w:val="22"/>
        </w:rPr>
        <w:t xml:space="preserve"> that December 6 is the 40</w:t>
      </w:r>
      <w:r w:rsidRPr="00A24C47">
        <w:rPr>
          <w:rFonts w:ascii="Calibri" w:eastAsia="Malgun Gothic" w:hAnsi="Calibri" w:cs="Times New Roman"/>
          <w:color w:val="auto"/>
          <w:sz w:val="22"/>
          <w:szCs w:val="22"/>
          <w:vertAlign w:val="superscript"/>
        </w:rPr>
        <w:t>th</w:t>
      </w:r>
      <w:r>
        <w:rPr>
          <w:rFonts w:ascii="Calibri" w:eastAsia="Malgun Gothic" w:hAnsi="Calibri" w:cs="Times New Roman"/>
          <w:color w:val="auto"/>
          <w:sz w:val="22"/>
          <w:szCs w:val="22"/>
        </w:rPr>
        <w:t xml:space="preserve"> anniversary of the Human Rights Act and is being recognized in Columbia Heights at a reception hosted by OHR.</w:t>
      </w:r>
    </w:p>
    <w:p w:rsidR="00A24C47" w:rsidRPr="00A24C47" w:rsidRDefault="00A24C47" w:rsidP="00A24C47">
      <w:pPr>
        <w:numPr>
          <w:ilvl w:val="0"/>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MPD Report –Commissioner Martha Watanabe</w:t>
      </w:r>
    </w:p>
    <w:p w:rsidR="00A24C47" w:rsidRPr="00A24C47" w:rsidRDefault="00A24C47" w:rsidP="00A24C47">
      <w:pPr>
        <w:numPr>
          <w:ilvl w:val="1"/>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Commissioner Watanabe detailed how Ms. Ellie Sung is coordinating the cultural competency video and will report to the commission as those updates occur.</w:t>
      </w:r>
    </w:p>
    <w:p w:rsidR="00A24C47" w:rsidRPr="00A24C47" w:rsidRDefault="00A24C47" w:rsidP="00A24C47">
      <w:pPr>
        <w:numPr>
          <w:ilvl w:val="1"/>
          <w:numId w:val="32"/>
        </w:numPr>
        <w:spacing w:after="200"/>
        <w:contextualSpacing/>
        <w:rPr>
          <w:rFonts w:ascii="Calibri" w:eastAsia="Malgun Gothic" w:hAnsi="Calibri" w:cs="Times New Roman"/>
          <w:color w:val="auto"/>
          <w:sz w:val="22"/>
          <w:szCs w:val="22"/>
          <w:u w:val="single"/>
        </w:rPr>
      </w:pPr>
      <w:r>
        <w:rPr>
          <w:rFonts w:ascii="Calibri" w:eastAsia="Malgun Gothic" w:hAnsi="Calibri" w:cs="Times New Roman"/>
          <w:color w:val="auto"/>
          <w:sz w:val="22"/>
          <w:szCs w:val="22"/>
        </w:rPr>
        <w:t xml:space="preserve">Ms. Sung is also organizing in tandem with the different interest offices in MPD including the Asian Liaison unit and will invite them to the net commission meeting. </w:t>
      </w:r>
    </w:p>
    <w:p w:rsidR="00A24C47" w:rsidRPr="00A24C47" w:rsidRDefault="00A24C47" w:rsidP="00A24C47">
      <w:pPr>
        <w:spacing w:after="200"/>
        <w:ind w:left="1080"/>
        <w:contextualSpacing/>
        <w:rPr>
          <w:rFonts w:ascii="Calibri" w:eastAsia="Malgun Gothic" w:hAnsi="Calibri" w:cs="Times New Roman"/>
          <w:color w:val="auto"/>
          <w:sz w:val="22"/>
          <w:szCs w:val="22"/>
          <w:u w:val="single"/>
        </w:rPr>
      </w:pPr>
    </w:p>
    <w:p w:rsidR="00A24C47" w:rsidRPr="00A24C47" w:rsidRDefault="00A24C47" w:rsidP="00A24C47">
      <w:pPr>
        <w:numPr>
          <w:ilvl w:val="0"/>
          <w:numId w:val="32"/>
        </w:numPr>
        <w:spacing w:after="200"/>
        <w:contextualSpacing/>
        <w:rPr>
          <w:rFonts w:ascii="Calibri" w:eastAsia="Malgun Gothic" w:hAnsi="Calibri" w:cs="Times New Roman"/>
          <w:b/>
          <w:color w:val="auto"/>
          <w:sz w:val="22"/>
          <w:szCs w:val="22"/>
          <w:u w:val="single"/>
        </w:rPr>
      </w:pPr>
      <w:r w:rsidRPr="00A24C47">
        <w:rPr>
          <w:rFonts w:ascii="Calibri" w:eastAsia="Malgun Gothic" w:hAnsi="Calibri" w:cs="Times New Roman"/>
          <w:b/>
          <w:color w:val="auto"/>
          <w:sz w:val="22"/>
          <w:szCs w:val="22"/>
        </w:rPr>
        <w:t>Chinatown Business Update</w:t>
      </w:r>
    </w:p>
    <w:p w:rsidR="00A24C47" w:rsidRPr="00A24C47" w:rsidRDefault="00A24C47" w:rsidP="00A24C47">
      <w:pPr>
        <w:numPr>
          <w:ilvl w:val="1"/>
          <w:numId w:val="32"/>
        </w:numPr>
        <w:spacing w:after="200"/>
        <w:contextualSpacing/>
        <w:rPr>
          <w:rFonts w:ascii="Calibri" w:eastAsia="Malgun Gothic" w:hAnsi="Calibri" w:cs="Times New Roman"/>
          <w:color w:val="auto"/>
          <w:sz w:val="22"/>
          <w:szCs w:val="22"/>
          <w:u w:val="single"/>
        </w:rPr>
      </w:pPr>
      <w:r w:rsidRPr="00A24C47">
        <w:rPr>
          <w:rFonts w:ascii="Calibri" w:eastAsia="Malgun Gothic" w:hAnsi="Calibri" w:cs="Times New Roman"/>
          <w:color w:val="auto"/>
          <w:sz w:val="22"/>
          <w:szCs w:val="22"/>
        </w:rPr>
        <w:t xml:space="preserve">Commissioner </w:t>
      </w:r>
      <w:proofErr w:type="spellStart"/>
      <w:r w:rsidRPr="00A24C47">
        <w:rPr>
          <w:rFonts w:ascii="Calibri" w:eastAsia="Malgun Gothic" w:hAnsi="Calibri" w:cs="Times New Roman"/>
          <w:color w:val="auto"/>
          <w:sz w:val="22"/>
          <w:szCs w:val="22"/>
        </w:rPr>
        <w:t>TInpe</w:t>
      </w:r>
      <w:proofErr w:type="spellEnd"/>
      <w:r w:rsidRPr="00A24C47">
        <w:rPr>
          <w:rFonts w:ascii="Calibri" w:eastAsia="Malgun Gothic" w:hAnsi="Calibri" w:cs="Times New Roman"/>
          <w:color w:val="auto"/>
          <w:sz w:val="22"/>
          <w:szCs w:val="22"/>
        </w:rPr>
        <w:t xml:space="preserve"> updated the commission on all developments with liquor licensing and business development in Chinatown.</w:t>
      </w:r>
    </w:p>
    <w:p w:rsidR="00D573A9" w:rsidRPr="00A24C47" w:rsidRDefault="00D573A9" w:rsidP="00D573A9">
      <w:pPr>
        <w:spacing w:after="200"/>
        <w:ind w:left="3600"/>
        <w:contextualSpacing/>
        <w:rPr>
          <w:rFonts w:ascii="Calibri" w:eastAsia="Malgun Gothic" w:hAnsi="Calibri" w:cs="Times New Roman"/>
          <w:color w:val="auto"/>
          <w:sz w:val="22"/>
          <w:szCs w:val="22"/>
          <w:u w:val="single"/>
        </w:rPr>
      </w:pPr>
    </w:p>
    <w:p w:rsidR="00F70CFA" w:rsidRPr="00A24C47" w:rsidRDefault="00F70CFA" w:rsidP="00F70CFA">
      <w:pPr>
        <w:numPr>
          <w:ilvl w:val="0"/>
          <w:numId w:val="32"/>
        </w:numPr>
        <w:spacing w:after="200"/>
        <w:contextualSpacing/>
        <w:rPr>
          <w:rFonts w:ascii="Calibri" w:eastAsia="Malgun Gothic" w:hAnsi="Calibri" w:cs="Times New Roman"/>
          <w:b/>
          <w:color w:val="auto"/>
          <w:sz w:val="22"/>
          <w:szCs w:val="22"/>
          <w:u w:val="single"/>
        </w:rPr>
      </w:pPr>
      <w:r w:rsidRPr="00A24C47">
        <w:rPr>
          <w:rFonts w:ascii="Calibri" w:eastAsia="Malgun Gothic" w:hAnsi="Calibri" w:cs="Times New Roman"/>
          <w:b/>
          <w:color w:val="auto"/>
          <w:sz w:val="22"/>
          <w:szCs w:val="22"/>
        </w:rPr>
        <w:t>Director’s Report</w:t>
      </w:r>
    </w:p>
    <w:p w:rsidR="00F70CFA" w:rsidRPr="00A24C47" w:rsidRDefault="00A24C47" w:rsidP="00F70CFA">
      <w:pPr>
        <w:numPr>
          <w:ilvl w:val="1"/>
          <w:numId w:val="32"/>
        </w:numPr>
        <w:spacing w:after="200"/>
        <w:contextualSpacing/>
        <w:rPr>
          <w:rFonts w:ascii="Calibri" w:eastAsia="Malgun Gothic" w:hAnsi="Calibri" w:cs="Times New Roman"/>
          <w:b/>
          <w:color w:val="auto"/>
          <w:sz w:val="22"/>
          <w:szCs w:val="22"/>
          <w:u w:val="single"/>
        </w:rPr>
      </w:pPr>
      <w:r w:rsidRPr="00A24C47">
        <w:rPr>
          <w:rFonts w:ascii="Calibri" w:eastAsia="Malgun Gothic" w:hAnsi="Calibri" w:cs="Times New Roman"/>
          <w:color w:val="auto"/>
          <w:sz w:val="22"/>
          <w:szCs w:val="22"/>
        </w:rPr>
        <w:t>Phuong Nguyen</w:t>
      </w:r>
      <w:r w:rsidR="00F70CFA" w:rsidRPr="00A24C47">
        <w:rPr>
          <w:rFonts w:ascii="Calibri" w:eastAsia="Malgun Gothic" w:hAnsi="Calibri" w:cs="Times New Roman"/>
          <w:color w:val="auto"/>
          <w:sz w:val="22"/>
          <w:szCs w:val="22"/>
        </w:rPr>
        <w:t xml:space="preserve"> reported on the ongoing work that the Mayor’s Office on Asian and Pacific Islander Affairs are conducting.</w:t>
      </w:r>
    </w:p>
    <w:p w:rsidR="00F70CFA" w:rsidRPr="00A24C47" w:rsidRDefault="00A24C47" w:rsidP="00F70CFA">
      <w:pPr>
        <w:numPr>
          <w:ilvl w:val="1"/>
          <w:numId w:val="32"/>
        </w:numPr>
        <w:spacing w:after="200"/>
        <w:contextualSpacing/>
        <w:rPr>
          <w:rFonts w:ascii="Calibri" w:eastAsia="Malgun Gothic" w:hAnsi="Calibri" w:cs="Times New Roman"/>
          <w:b/>
          <w:color w:val="auto"/>
          <w:sz w:val="22"/>
          <w:szCs w:val="22"/>
          <w:u w:val="single"/>
        </w:rPr>
      </w:pPr>
      <w:r w:rsidRPr="00A24C47">
        <w:rPr>
          <w:rFonts w:ascii="Calibri" w:eastAsia="Malgun Gothic" w:hAnsi="Calibri" w:cs="Times New Roman"/>
          <w:color w:val="auto"/>
          <w:sz w:val="22"/>
          <w:szCs w:val="22"/>
        </w:rPr>
        <w:t xml:space="preserve">Commissioner Tinpe discussed the </w:t>
      </w:r>
      <w:proofErr w:type="spellStart"/>
      <w:r w:rsidRPr="00A24C47">
        <w:rPr>
          <w:rFonts w:ascii="Calibri" w:eastAsia="Malgun Gothic" w:hAnsi="Calibri" w:cs="Times New Roman"/>
          <w:color w:val="auto"/>
          <w:sz w:val="22"/>
          <w:szCs w:val="22"/>
        </w:rPr>
        <w:t>Cafritz</w:t>
      </w:r>
      <w:proofErr w:type="spellEnd"/>
      <w:r w:rsidRPr="00A24C47">
        <w:rPr>
          <w:rFonts w:ascii="Calibri" w:eastAsia="Malgun Gothic" w:hAnsi="Calibri" w:cs="Times New Roman"/>
          <w:color w:val="auto"/>
          <w:sz w:val="22"/>
          <w:szCs w:val="22"/>
        </w:rPr>
        <w:t xml:space="preserve"> awards and encouraged the commissioners to nominate any worthy candidates.</w:t>
      </w:r>
    </w:p>
    <w:p w:rsidR="00933F3C" w:rsidRPr="00A24C47" w:rsidRDefault="00933F3C" w:rsidP="00F70CFA">
      <w:pPr>
        <w:autoSpaceDE w:val="0"/>
        <w:autoSpaceDN w:val="0"/>
        <w:adjustRightInd w:val="0"/>
        <w:rPr>
          <w:rFonts w:ascii="Calibri" w:hAnsi="Calibri"/>
          <w:sz w:val="23"/>
          <w:szCs w:val="23"/>
          <w:highlight w:val="yellow"/>
          <w:u w:val="single"/>
          <w:lang w:eastAsia="zh-CN"/>
        </w:rPr>
      </w:pPr>
    </w:p>
    <w:p w:rsidR="00AA0B30" w:rsidRPr="00427800" w:rsidRDefault="00AA0B30" w:rsidP="00AA0B30">
      <w:pPr>
        <w:widowControl w:val="0"/>
        <w:autoSpaceDE w:val="0"/>
        <w:autoSpaceDN w:val="0"/>
        <w:adjustRightInd w:val="0"/>
        <w:spacing w:after="240"/>
        <w:rPr>
          <w:rFonts w:ascii="Calibri" w:eastAsia="Malgun Gothic" w:hAnsi="Calibri" w:cs="Times New Roman"/>
          <w:color w:val="auto"/>
          <w:sz w:val="22"/>
          <w:szCs w:val="22"/>
          <w:highlight w:val="yellow"/>
        </w:rPr>
      </w:pPr>
      <w:bookmarkStart w:id="0" w:name="_GoBack"/>
      <w:bookmarkEnd w:id="0"/>
    </w:p>
    <w:p w:rsidR="00AA0B30" w:rsidRPr="00A24C47" w:rsidRDefault="00AA0B30" w:rsidP="00A24997">
      <w:pPr>
        <w:widowControl w:val="0"/>
        <w:autoSpaceDE w:val="0"/>
        <w:autoSpaceDN w:val="0"/>
        <w:adjustRightInd w:val="0"/>
        <w:spacing w:after="240"/>
        <w:rPr>
          <w:rFonts w:ascii="Calibri" w:eastAsia="Malgun Gothic" w:hAnsi="Calibri" w:cs="Times New Roman"/>
          <w:color w:val="auto"/>
          <w:sz w:val="22"/>
          <w:szCs w:val="22"/>
        </w:rPr>
      </w:pPr>
      <w:r w:rsidRPr="00A24C47">
        <w:rPr>
          <w:rFonts w:ascii="Calibri" w:eastAsia="Malgun Gothic" w:hAnsi="Calibri" w:cs="Times New Roman"/>
          <w:color w:val="auto"/>
          <w:sz w:val="22"/>
          <w:szCs w:val="22"/>
        </w:rPr>
        <w:t>Miscellaneous Ques</w:t>
      </w:r>
      <w:r w:rsidR="00A24997" w:rsidRPr="00A24C47">
        <w:rPr>
          <w:rFonts w:ascii="Calibri" w:eastAsia="Malgun Gothic" w:hAnsi="Calibri" w:cs="Times New Roman"/>
          <w:color w:val="auto"/>
          <w:sz w:val="22"/>
          <w:szCs w:val="22"/>
        </w:rPr>
        <w:t>tions/Meeting Adjournment</w:t>
      </w:r>
    </w:p>
    <w:p w:rsidR="00FC7385" w:rsidRPr="00A24C47" w:rsidRDefault="00324A1A" w:rsidP="00D179FB">
      <w:pPr>
        <w:numPr>
          <w:ilvl w:val="0"/>
          <w:numId w:val="32"/>
        </w:numPr>
        <w:spacing w:after="200" w:line="312" w:lineRule="auto"/>
        <w:contextualSpacing/>
        <w:rPr>
          <w:rFonts w:ascii="Calibri" w:hAnsi="Calibri"/>
          <w:sz w:val="22"/>
          <w:szCs w:val="22"/>
        </w:rPr>
      </w:pPr>
      <w:r w:rsidRPr="00A24C47">
        <w:rPr>
          <w:rFonts w:ascii="Calibri" w:hAnsi="Calibri"/>
          <w:b/>
          <w:sz w:val="22"/>
          <w:szCs w:val="22"/>
        </w:rPr>
        <w:t xml:space="preserve">Next Commission Meeting: </w:t>
      </w:r>
      <w:r w:rsidR="00AA0B30" w:rsidRPr="00A24C47">
        <w:rPr>
          <w:rFonts w:ascii="Calibri" w:hAnsi="Calibri"/>
          <w:sz w:val="22"/>
          <w:szCs w:val="22"/>
        </w:rPr>
        <w:t xml:space="preserve">The next meeting will occur on </w:t>
      </w:r>
      <w:r w:rsidR="00A24C47">
        <w:rPr>
          <w:rFonts w:ascii="Calibri" w:hAnsi="Calibri"/>
          <w:sz w:val="22"/>
          <w:szCs w:val="22"/>
        </w:rPr>
        <w:t>December 20</w:t>
      </w:r>
      <w:r w:rsidR="00AA0B30" w:rsidRPr="00A24C47">
        <w:rPr>
          <w:rFonts w:ascii="Calibri" w:hAnsi="Calibri"/>
          <w:sz w:val="22"/>
          <w:szCs w:val="22"/>
          <w:vertAlign w:val="superscript"/>
        </w:rPr>
        <w:t>th</w:t>
      </w:r>
      <w:r w:rsidR="00AA0B30" w:rsidRPr="00A24C47">
        <w:rPr>
          <w:rFonts w:ascii="Calibri" w:hAnsi="Calibri"/>
          <w:sz w:val="22"/>
          <w:szCs w:val="22"/>
        </w:rPr>
        <w:t xml:space="preserve"> at 6:30 pm</w:t>
      </w:r>
    </w:p>
    <w:p w:rsidR="00AA0B30" w:rsidRPr="00A24C47" w:rsidRDefault="00AA0B30" w:rsidP="004C565E">
      <w:pPr>
        <w:jc w:val="center"/>
        <w:rPr>
          <w:rFonts w:ascii="Calibri" w:hAnsi="Calibri"/>
          <w:sz w:val="22"/>
          <w:szCs w:val="22"/>
        </w:rPr>
      </w:pPr>
    </w:p>
    <w:p w:rsidR="00D179FB" w:rsidRPr="00A24C47" w:rsidRDefault="00D179FB" w:rsidP="004C565E">
      <w:pPr>
        <w:jc w:val="center"/>
        <w:rPr>
          <w:rFonts w:ascii="Calibri" w:hAnsi="Calibri"/>
          <w:sz w:val="22"/>
          <w:szCs w:val="22"/>
        </w:rPr>
      </w:pPr>
      <w:r w:rsidRPr="00A24C47">
        <w:rPr>
          <w:rFonts w:ascii="Calibri" w:hAnsi="Calibri"/>
          <w:sz w:val="22"/>
          <w:szCs w:val="22"/>
        </w:rPr>
        <w:t>Question</w:t>
      </w:r>
      <w:r w:rsidR="000F672E" w:rsidRPr="00A24C47">
        <w:rPr>
          <w:rFonts w:ascii="Calibri" w:hAnsi="Calibri"/>
          <w:sz w:val="22"/>
          <w:szCs w:val="22"/>
        </w:rPr>
        <w:t>s</w:t>
      </w:r>
      <w:r w:rsidRPr="00A24C47">
        <w:rPr>
          <w:rFonts w:ascii="Calibri" w:hAnsi="Calibri"/>
          <w:sz w:val="22"/>
          <w:szCs w:val="22"/>
        </w:rPr>
        <w:t>:</w:t>
      </w:r>
    </w:p>
    <w:p w:rsidR="00661BB0" w:rsidRPr="00A24C47" w:rsidRDefault="00F4680C" w:rsidP="004C565E">
      <w:pPr>
        <w:jc w:val="center"/>
        <w:rPr>
          <w:rFonts w:ascii="Calibri" w:hAnsi="Calibri"/>
          <w:sz w:val="22"/>
          <w:szCs w:val="22"/>
        </w:rPr>
      </w:pPr>
      <w:r w:rsidRPr="00A24C47">
        <w:rPr>
          <w:rFonts w:ascii="Calibri" w:hAnsi="Calibri"/>
          <w:sz w:val="22"/>
          <w:szCs w:val="22"/>
        </w:rPr>
        <w:t>Cha</w:t>
      </w:r>
      <w:r w:rsidR="00E809F1" w:rsidRPr="00A24C47">
        <w:rPr>
          <w:rFonts w:ascii="Calibri" w:hAnsi="Calibri"/>
          <w:sz w:val="22"/>
          <w:szCs w:val="22"/>
        </w:rPr>
        <w:t xml:space="preserve">ir: </w:t>
      </w:r>
      <w:r w:rsidR="00CF7ED0" w:rsidRPr="00A24C47">
        <w:rPr>
          <w:rFonts w:ascii="Calibri" w:hAnsi="Calibri"/>
          <w:sz w:val="22"/>
          <w:szCs w:val="22"/>
        </w:rPr>
        <w:t>John Tinpe, John.Tinpe@dcbc.dc.gov</w:t>
      </w:r>
    </w:p>
    <w:p w:rsidR="00661BB0" w:rsidRPr="00A24C47" w:rsidRDefault="003444B9" w:rsidP="004C565E">
      <w:pPr>
        <w:tabs>
          <w:tab w:val="left" w:pos="1605"/>
          <w:tab w:val="center" w:pos="4680"/>
        </w:tabs>
        <w:rPr>
          <w:rFonts w:ascii="Calibri" w:hAnsi="Calibri"/>
          <w:sz w:val="22"/>
          <w:szCs w:val="22"/>
        </w:rPr>
      </w:pPr>
      <w:r w:rsidRPr="00A24C47">
        <w:rPr>
          <w:rFonts w:ascii="Calibri" w:hAnsi="Calibri"/>
          <w:sz w:val="22"/>
          <w:szCs w:val="22"/>
        </w:rPr>
        <w:tab/>
      </w:r>
      <w:r w:rsidRPr="00A24C47">
        <w:rPr>
          <w:rFonts w:ascii="Calibri" w:hAnsi="Calibri"/>
          <w:sz w:val="22"/>
          <w:szCs w:val="22"/>
        </w:rPr>
        <w:tab/>
      </w:r>
      <w:r w:rsidR="00F4680C" w:rsidRPr="00A24C47">
        <w:rPr>
          <w:rFonts w:ascii="Calibri" w:hAnsi="Calibri"/>
          <w:sz w:val="22"/>
          <w:szCs w:val="22"/>
        </w:rPr>
        <w:t>Vice Chai</w:t>
      </w:r>
      <w:r w:rsidR="00C56A64" w:rsidRPr="00A24C47">
        <w:rPr>
          <w:rFonts w:ascii="Calibri" w:hAnsi="Calibri"/>
          <w:sz w:val="22"/>
          <w:szCs w:val="22"/>
        </w:rPr>
        <w:t xml:space="preserve">r and </w:t>
      </w:r>
      <w:r w:rsidR="00E809F1" w:rsidRPr="00A24C47">
        <w:rPr>
          <w:rFonts w:ascii="Calibri" w:hAnsi="Calibri"/>
          <w:sz w:val="22"/>
          <w:szCs w:val="22"/>
        </w:rPr>
        <w:t xml:space="preserve">Secretary: Ben Takai, </w:t>
      </w:r>
      <w:r w:rsidR="00001B38" w:rsidRPr="00A24C47">
        <w:rPr>
          <w:rFonts w:ascii="Calibri" w:hAnsi="Calibri"/>
          <w:sz w:val="22"/>
          <w:szCs w:val="22"/>
        </w:rPr>
        <w:t>ben.takai@dcbc.dc</w:t>
      </w:r>
      <w:r w:rsidR="00E809F1" w:rsidRPr="00A24C47">
        <w:rPr>
          <w:rFonts w:ascii="Calibri" w:hAnsi="Calibri"/>
          <w:sz w:val="22"/>
          <w:szCs w:val="22"/>
        </w:rPr>
        <w:t>.com</w:t>
      </w:r>
    </w:p>
    <w:p w:rsidR="00BD59B0" w:rsidRPr="001924F4" w:rsidRDefault="00CF7ED0" w:rsidP="004C565E">
      <w:pPr>
        <w:jc w:val="center"/>
        <w:rPr>
          <w:rFonts w:ascii="Calibri" w:hAnsi="Calibri"/>
          <w:sz w:val="22"/>
          <w:szCs w:val="22"/>
        </w:rPr>
      </w:pPr>
      <w:r w:rsidRPr="00A24C47">
        <w:rPr>
          <w:rFonts w:ascii="Calibri" w:hAnsi="Calibri"/>
          <w:sz w:val="22"/>
          <w:szCs w:val="22"/>
        </w:rPr>
        <w:t>http://</w:t>
      </w:r>
      <w:r w:rsidR="00F4680C" w:rsidRPr="00A24C47">
        <w:rPr>
          <w:rFonts w:ascii="Calibri" w:hAnsi="Calibri"/>
          <w:sz w:val="22"/>
          <w:szCs w:val="22"/>
        </w:rPr>
        <w:t>apia.dc.gov</w:t>
      </w:r>
    </w:p>
    <w:p w:rsidR="00FE32D0" w:rsidRPr="001924F4" w:rsidRDefault="00FE32D0" w:rsidP="00AA0B30">
      <w:pPr>
        <w:jc w:val="center"/>
        <w:rPr>
          <w:rFonts w:ascii="Calibri" w:hAnsi="Calibri"/>
          <w:sz w:val="22"/>
          <w:szCs w:val="22"/>
        </w:rPr>
      </w:pPr>
    </w:p>
    <w:p w:rsidR="00103E07" w:rsidRDefault="00103E07" w:rsidP="00661BB0">
      <w:pPr>
        <w:spacing w:line="312" w:lineRule="auto"/>
        <w:jc w:val="center"/>
      </w:pPr>
    </w:p>
    <w:sectPr w:rsidR="00103E07" w:rsidSect="002E65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69" w:rsidRDefault="00253669" w:rsidP="00F4680C">
      <w:r>
        <w:separator/>
      </w:r>
    </w:p>
  </w:endnote>
  <w:endnote w:type="continuationSeparator" w:id="0">
    <w:p w:rsidR="00253669" w:rsidRDefault="00253669" w:rsidP="00F4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A9" w:rsidRDefault="00D57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A9" w:rsidRDefault="00D573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A9" w:rsidRDefault="00D57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69" w:rsidRDefault="00253669" w:rsidP="00F4680C">
      <w:r>
        <w:separator/>
      </w:r>
    </w:p>
  </w:footnote>
  <w:footnote w:type="continuationSeparator" w:id="0">
    <w:p w:rsidR="00253669" w:rsidRDefault="00253669" w:rsidP="00F46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A9" w:rsidRDefault="00D573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A9" w:rsidRDefault="00D573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A9" w:rsidRDefault="00D57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3EB5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28513A"/>
    <w:multiLevelType w:val="hybridMultilevel"/>
    <w:tmpl w:val="84DC6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70863"/>
    <w:multiLevelType w:val="hybridMultilevel"/>
    <w:tmpl w:val="ED1E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72507"/>
    <w:multiLevelType w:val="hybridMultilevel"/>
    <w:tmpl w:val="1BACD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61C2A"/>
    <w:multiLevelType w:val="hybridMultilevel"/>
    <w:tmpl w:val="05364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50284"/>
    <w:multiLevelType w:val="hybridMultilevel"/>
    <w:tmpl w:val="8F7E6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177F1"/>
    <w:multiLevelType w:val="hybridMultilevel"/>
    <w:tmpl w:val="A4D86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6140AB"/>
    <w:multiLevelType w:val="hybridMultilevel"/>
    <w:tmpl w:val="5866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D4B14"/>
    <w:multiLevelType w:val="hybridMultilevel"/>
    <w:tmpl w:val="94F40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94108"/>
    <w:multiLevelType w:val="hybridMultilevel"/>
    <w:tmpl w:val="28B4E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A03E12"/>
    <w:multiLevelType w:val="hybridMultilevel"/>
    <w:tmpl w:val="49D02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15DCD"/>
    <w:multiLevelType w:val="hybridMultilevel"/>
    <w:tmpl w:val="E1CC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902653"/>
    <w:multiLevelType w:val="hybridMultilevel"/>
    <w:tmpl w:val="66F8B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E50FAC"/>
    <w:multiLevelType w:val="hybridMultilevel"/>
    <w:tmpl w:val="9222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A236A"/>
    <w:multiLevelType w:val="hybridMultilevel"/>
    <w:tmpl w:val="D7709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237DB4"/>
    <w:multiLevelType w:val="hybridMultilevel"/>
    <w:tmpl w:val="4174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E4578"/>
    <w:multiLevelType w:val="hybridMultilevel"/>
    <w:tmpl w:val="2994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C7DD6"/>
    <w:multiLevelType w:val="hybridMultilevel"/>
    <w:tmpl w:val="98D0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E14F5"/>
    <w:multiLevelType w:val="hybridMultilevel"/>
    <w:tmpl w:val="5F72F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212AF"/>
    <w:multiLevelType w:val="hybridMultilevel"/>
    <w:tmpl w:val="3BFA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02144"/>
    <w:multiLevelType w:val="hybridMultilevel"/>
    <w:tmpl w:val="2C9222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64E72"/>
    <w:multiLevelType w:val="hybridMultilevel"/>
    <w:tmpl w:val="6620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A9651B"/>
    <w:multiLevelType w:val="hybridMultilevel"/>
    <w:tmpl w:val="E28C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31F01"/>
    <w:multiLevelType w:val="hybridMultilevel"/>
    <w:tmpl w:val="3DCAD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081CC3"/>
    <w:multiLevelType w:val="hybridMultilevel"/>
    <w:tmpl w:val="B6A2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25AF8"/>
    <w:multiLevelType w:val="hybridMultilevel"/>
    <w:tmpl w:val="E8FE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C86658"/>
    <w:multiLevelType w:val="hybridMultilevel"/>
    <w:tmpl w:val="5596CD5C"/>
    <w:lvl w:ilvl="0" w:tplc="D116BC4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EC072C"/>
    <w:multiLevelType w:val="hybridMultilevel"/>
    <w:tmpl w:val="5F72F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A71649"/>
    <w:multiLevelType w:val="hybridMultilevel"/>
    <w:tmpl w:val="C83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A804F8"/>
    <w:multiLevelType w:val="hybridMultilevel"/>
    <w:tmpl w:val="2862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810A5D"/>
    <w:multiLevelType w:val="hybridMultilevel"/>
    <w:tmpl w:val="F1EA2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9D3551"/>
    <w:multiLevelType w:val="hybridMultilevel"/>
    <w:tmpl w:val="E24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3B71428"/>
    <w:multiLevelType w:val="hybridMultilevel"/>
    <w:tmpl w:val="00F4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A61CA8"/>
    <w:multiLevelType w:val="hybridMultilevel"/>
    <w:tmpl w:val="272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45F60"/>
    <w:multiLevelType w:val="hybridMultilevel"/>
    <w:tmpl w:val="CB6E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BF37D4"/>
    <w:multiLevelType w:val="hybridMultilevel"/>
    <w:tmpl w:val="63427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D60052"/>
    <w:multiLevelType w:val="hybridMultilevel"/>
    <w:tmpl w:val="1C30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13890"/>
    <w:multiLevelType w:val="hybridMultilevel"/>
    <w:tmpl w:val="3864A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A3230AA"/>
    <w:multiLevelType w:val="hybridMultilevel"/>
    <w:tmpl w:val="A76E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CE515F"/>
    <w:multiLevelType w:val="hybridMultilevel"/>
    <w:tmpl w:val="0DA2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FC7F3B"/>
    <w:multiLevelType w:val="hybridMultilevel"/>
    <w:tmpl w:val="811EE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EE97FA0"/>
    <w:multiLevelType w:val="hybridMultilevel"/>
    <w:tmpl w:val="4F82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2"/>
  </w:num>
  <w:num w:numId="3">
    <w:abstractNumId w:val="7"/>
  </w:num>
  <w:num w:numId="4">
    <w:abstractNumId w:val="27"/>
  </w:num>
  <w:num w:numId="5">
    <w:abstractNumId w:val="37"/>
  </w:num>
  <w:num w:numId="6">
    <w:abstractNumId w:val="40"/>
  </w:num>
  <w:num w:numId="7">
    <w:abstractNumId w:val="3"/>
  </w:num>
  <w:num w:numId="8">
    <w:abstractNumId w:val="14"/>
  </w:num>
  <w:num w:numId="9">
    <w:abstractNumId w:val="33"/>
  </w:num>
  <w:num w:numId="10">
    <w:abstractNumId w:val="23"/>
  </w:num>
  <w:num w:numId="11">
    <w:abstractNumId w:val="29"/>
  </w:num>
  <w:num w:numId="12">
    <w:abstractNumId w:val="20"/>
  </w:num>
  <w:num w:numId="13">
    <w:abstractNumId w:val="31"/>
  </w:num>
  <w:num w:numId="14">
    <w:abstractNumId w:val="28"/>
  </w:num>
  <w:num w:numId="15">
    <w:abstractNumId w:val="35"/>
  </w:num>
  <w:num w:numId="16">
    <w:abstractNumId w:val="19"/>
  </w:num>
  <w:num w:numId="17">
    <w:abstractNumId w:val="5"/>
  </w:num>
  <w:num w:numId="18">
    <w:abstractNumId w:val="15"/>
  </w:num>
  <w:num w:numId="19">
    <w:abstractNumId w:val="11"/>
  </w:num>
  <w:num w:numId="20">
    <w:abstractNumId w:val="16"/>
  </w:num>
  <w:num w:numId="21">
    <w:abstractNumId w:val="9"/>
  </w:num>
  <w:num w:numId="22">
    <w:abstractNumId w:val="4"/>
  </w:num>
  <w:num w:numId="23">
    <w:abstractNumId w:val="36"/>
  </w:num>
  <w:num w:numId="24">
    <w:abstractNumId w:val="25"/>
  </w:num>
  <w:num w:numId="25">
    <w:abstractNumId w:val="39"/>
  </w:num>
  <w:num w:numId="26">
    <w:abstractNumId w:val="30"/>
  </w:num>
  <w:num w:numId="27">
    <w:abstractNumId w:val="26"/>
  </w:num>
  <w:num w:numId="28">
    <w:abstractNumId w:val="6"/>
  </w:num>
  <w:num w:numId="29">
    <w:abstractNumId w:val="12"/>
  </w:num>
  <w:num w:numId="30">
    <w:abstractNumId w:val="17"/>
  </w:num>
  <w:num w:numId="31">
    <w:abstractNumId w:val="2"/>
  </w:num>
  <w:num w:numId="32">
    <w:abstractNumId w:val="38"/>
  </w:num>
  <w:num w:numId="33">
    <w:abstractNumId w:val="13"/>
  </w:num>
  <w:num w:numId="34">
    <w:abstractNumId w:val="41"/>
  </w:num>
  <w:num w:numId="35">
    <w:abstractNumId w:val="10"/>
  </w:num>
  <w:num w:numId="36">
    <w:abstractNumId w:val="24"/>
  </w:num>
  <w:num w:numId="37">
    <w:abstractNumId w:val="18"/>
  </w:num>
  <w:num w:numId="38">
    <w:abstractNumId w:val="34"/>
  </w:num>
  <w:num w:numId="39">
    <w:abstractNumId w:val="8"/>
  </w:num>
  <w:num w:numId="40">
    <w:abstractNumId w:val="0"/>
  </w:num>
  <w:num w:numId="41">
    <w:abstractNumId w:val="32"/>
  </w:num>
  <w:num w:numId="42">
    <w:abstractNumId w:val="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B0"/>
    <w:rsid w:val="00001B38"/>
    <w:rsid w:val="00001E96"/>
    <w:rsid w:val="00002E74"/>
    <w:rsid w:val="00003466"/>
    <w:rsid w:val="00020E76"/>
    <w:rsid w:val="00032446"/>
    <w:rsid w:val="00032518"/>
    <w:rsid w:val="00034652"/>
    <w:rsid w:val="00045B4E"/>
    <w:rsid w:val="00050BB4"/>
    <w:rsid w:val="00067D93"/>
    <w:rsid w:val="00094FA2"/>
    <w:rsid w:val="000C2C20"/>
    <w:rsid w:val="000F554D"/>
    <w:rsid w:val="000F672E"/>
    <w:rsid w:val="00103E07"/>
    <w:rsid w:val="0011513F"/>
    <w:rsid w:val="001152DB"/>
    <w:rsid w:val="00116DC8"/>
    <w:rsid w:val="001173CD"/>
    <w:rsid w:val="00117F0B"/>
    <w:rsid w:val="00120143"/>
    <w:rsid w:val="00131B2B"/>
    <w:rsid w:val="001748E5"/>
    <w:rsid w:val="001924F4"/>
    <w:rsid w:val="00193145"/>
    <w:rsid w:val="001958A3"/>
    <w:rsid w:val="00195945"/>
    <w:rsid w:val="001A5697"/>
    <w:rsid w:val="001A7BB3"/>
    <w:rsid w:val="001B037B"/>
    <w:rsid w:val="001B4873"/>
    <w:rsid w:val="001C4ECD"/>
    <w:rsid w:val="001C630B"/>
    <w:rsid w:val="001C7A57"/>
    <w:rsid w:val="001E68B6"/>
    <w:rsid w:val="001E7E0E"/>
    <w:rsid w:val="001F3DEB"/>
    <w:rsid w:val="00211083"/>
    <w:rsid w:val="00213D11"/>
    <w:rsid w:val="002316DA"/>
    <w:rsid w:val="00242795"/>
    <w:rsid w:val="00251C5F"/>
    <w:rsid w:val="00253669"/>
    <w:rsid w:val="00254234"/>
    <w:rsid w:val="00271E0F"/>
    <w:rsid w:val="00284522"/>
    <w:rsid w:val="0029184A"/>
    <w:rsid w:val="0029276B"/>
    <w:rsid w:val="00295B5C"/>
    <w:rsid w:val="002A2CA6"/>
    <w:rsid w:val="002A407C"/>
    <w:rsid w:val="002B1857"/>
    <w:rsid w:val="002B57F1"/>
    <w:rsid w:val="002C372D"/>
    <w:rsid w:val="002C7365"/>
    <w:rsid w:val="002D3387"/>
    <w:rsid w:val="002E2014"/>
    <w:rsid w:val="002E65D5"/>
    <w:rsid w:val="002F65C3"/>
    <w:rsid w:val="0030183A"/>
    <w:rsid w:val="00302518"/>
    <w:rsid w:val="00305E80"/>
    <w:rsid w:val="00307DF8"/>
    <w:rsid w:val="00312C2C"/>
    <w:rsid w:val="00315F1D"/>
    <w:rsid w:val="00316D1C"/>
    <w:rsid w:val="00324A1A"/>
    <w:rsid w:val="00330AB5"/>
    <w:rsid w:val="00336364"/>
    <w:rsid w:val="00336C91"/>
    <w:rsid w:val="003444B9"/>
    <w:rsid w:val="003674BE"/>
    <w:rsid w:val="00395DDA"/>
    <w:rsid w:val="003A0086"/>
    <w:rsid w:val="003A54C4"/>
    <w:rsid w:val="003B52EC"/>
    <w:rsid w:val="003E4A34"/>
    <w:rsid w:val="003F4009"/>
    <w:rsid w:val="00412A89"/>
    <w:rsid w:val="0041744F"/>
    <w:rsid w:val="00421043"/>
    <w:rsid w:val="00421873"/>
    <w:rsid w:val="00424449"/>
    <w:rsid w:val="00427800"/>
    <w:rsid w:val="00456B0C"/>
    <w:rsid w:val="00463BD0"/>
    <w:rsid w:val="00464890"/>
    <w:rsid w:val="004A50FE"/>
    <w:rsid w:val="004C1EF3"/>
    <w:rsid w:val="004C2A82"/>
    <w:rsid w:val="004C565E"/>
    <w:rsid w:val="004F7005"/>
    <w:rsid w:val="005001EC"/>
    <w:rsid w:val="0050087F"/>
    <w:rsid w:val="00503898"/>
    <w:rsid w:val="00505C39"/>
    <w:rsid w:val="00561E33"/>
    <w:rsid w:val="00572E83"/>
    <w:rsid w:val="005B042A"/>
    <w:rsid w:val="005B2D89"/>
    <w:rsid w:val="005C74DA"/>
    <w:rsid w:val="005D153F"/>
    <w:rsid w:val="005D34C7"/>
    <w:rsid w:val="005F5ED9"/>
    <w:rsid w:val="006041B5"/>
    <w:rsid w:val="00616BCC"/>
    <w:rsid w:val="00645F2A"/>
    <w:rsid w:val="006465A9"/>
    <w:rsid w:val="00653B16"/>
    <w:rsid w:val="00661BB0"/>
    <w:rsid w:val="006716C4"/>
    <w:rsid w:val="00681705"/>
    <w:rsid w:val="0068308D"/>
    <w:rsid w:val="00695237"/>
    <w:rsid w:val="00696F03"/>
    <w:rsid w:val="006B5118"/>
    <w:rsid w:val="006E6A7C"/>
    <w:rsid w:val="006F4149"/>
    <w:rsid w:val="006F416A"/>
    <w:rsid w:val="00700F1F"/>
    <w:rsid w:val="007133E2"/>
    <w:rsid w:val="00715C89"/>
    <w:rsid w:val="00750786"/>
    <w:rsid w:val="00757494"/>
    <w:rsid w:val="00757587"/>
    <w:rsid w:val="00762039"/>
    <w:rsid w:val="007740B3"/>
    <w:rsid w:val="00774B08"/>
    <w:rsid w:val="00785CC8"/>
    <w:rsid w:val="007877DD"/>
    <w:rsid w:val="0079429A"/>
    <w:rsid w:val="007A3045"/>
    <w:rsid w:val="007A5207"/>
    <w:rsid w:val="007C6AEE"/>
    <w:rsid w:val="007D365F"/>
    <w:rsid w:val="007D66F5"/>
    <w:rsid w:val="007F27C8"/>
    <w:rsid w:val="007F28EB"/>
    <w:rsid w:val="00823637"/>
    <w:rsid w:val="0082655C"/>
    <w:rsid w:val="00842D8E"/>
    <w:rsid w:val="00843CAF"/>
    <w:rsid w:val="00851C92"/>
    <w:rsid w:val="008528B2"/>
    <w:rsid w:val="00856D90"/>
    <w:rsid w:val="00857AAB"/>
    <w:rsid w:val="008613BF"/>
    <w:rsid w:val="00861697"/>
    <w:rsid w:val="00870A3A"/>
    <w:rsid w:val="008808E9"/>
    <w:rsid w:val="00893AB5"/>
    <w:rsid w:val="008A27E7"/>
    <w:rsid w:val="008A58AD"/>
    <w:rsid w:val="008A7168"/>
    <w:rsid w:val="008B2956"/>
    <w:rsid w:val="008B40D0"/>
    <w:rsid w:val="008B58E8"/>
    <w:rsid w:val="008D57BE"/>
    <w:rsid w:val="008F190C"/>
    <w:rsid w:val="008F2537"/>
    <w:rsid w:val="008F4405"/>
    <w:rsid w:val="00923C9C"/>
    <w:rsid w:val="00933F3C"/>
    <w:rsid w:val="00936417"/>
    <w:rsid w:val="00956342"/>
    <w:rsid w:val="009609F8"/>
    <w:rsid w:val="00967D06"/>
    <w:rsid w:val="009710D0"/>
    <w:rsid w:val="00981A72"/>
    <w:rsid w:val="00985DE4"/>
    <w:rsid w:val="009A1A14"/>
    <w:rsid w:val="009A2AD3"/>
    <w:rsid w:val="009F277C"/>
    <w:rsid w:val="009F3390"/>
    <w:rsid w:val="009F7E69"/>
    <w:rsid w:val="00A039B8"/>
    <w:rsid w:val="00A03FD3"/>
    <w:rsid w:val="00A11E1A"/>
    <w:rsid w:val="00A1768C"/>
    <w:rsid w:val="00A24997"/>
    <w:rsid w:val="00A24C47"/>
    <w:rsid w:val="00A4090D"/>
    <w:rsid w:val="00A4546A"/>
    <w:rsid w:val="00A461C4"/>
    <w:rsid w:val="00A46BA8"/>
    <w:rsid w:val="00A74820"/>
    <w:rsid w:val="00A82A15"/>
    <w:rsid w:val="00A90F7E"/>
    <w:rsid w:val="00AA0B30"/>
    <w:rsid w:val="00AA5E57"/>
    <w:rsid w:val="00AD0D5B"/>
    <w:rsid w:val="00B16EEC"/>
    <w:rsid w:val="00B27C87"/>
    <w:rsid w:val="00B3782B"/>
    <w:rsid w:val="00B41D4C"/>
    <w:rsid w:val="00B42413"/>
    <w:rsid w:val="00B44712"/>
    <w:rsid w:val="00B50439"/>
    <w:rsid w:val="00B51162"/>
    <w:rsid w:val="00B7021B"/>
    <w:rsid w:val="00BA0A9C"/>
    <w:rsid w:val="00BA1F2D"/>
    <w:rsid w:val="00BA40B4"/>
    <w:rsid w:val="00BA7185"/>
    <w:rsid w:val="00BC1260"/>
    <w:rsid w:val="00BC2C95"/>
    <w:rsid w:val="00BD202E"/>
    <w:rsid w:val="00BD59B0"/>
    <w:rsid w:val="00BF314E"/>
    <w:rsid w:val="00BF7689"/>
    <w:rsid w:val="00C01359"/>
    <w:rsid w:val="00C033AB"/>
    <w:rsid w:val="00C05E3A"/>
    <w:rsid w:val="00C3742B"/>
    <w:rsid w:val="00C416E5"/>
    <w:rsid w:val="00C45272"/>
    <w:rsid w:val="00C56A64"/>
    <w:rsid w:val="00C73BE8"/>
    <w:rsid w:val="00C843E3"/>
    <w:rsid w:val="00C86275"/>
    <w:rsid w:val="00CA1EF7"/>
    <w:rsid w:val="00CA578E"/>
    <w:rsid w:val="00CA616F"/>
    <w:rsid w:val="00CB000D"/>
    <w:rsid w:val="00CD3551"/>
    <w:rsid w:val="00CE4E57"/>
    <w:rsid w:val="00CF3714"/>
    <w:rsid w:val="00CF58F4"/>
    <w:rsid w:val="00CF7ED0"/>
    <w:rsid w:val="00D04EDD"/>
    <w:rsid w:val="00D10445"/>
    <w:rsid w:val="00D179FB"/>
    <w:rsid w:val="00D52DEE"/>
    <w:rsid w:val="00D573A9"/>
    <w:rsid w:val="00D70CD5"/>
    <w:rsid w:val="00D83D98"/>
    <w:rsid w:val="00D86A94"/>
    <w:rsid w:val="00D87B60"/>
    <w:rsid w:val="00D94094"/>
    <w:rsid w:val="00DF1273"/>
    <w:rsid w:val="00DF5674"/>
    <w:rsid w:val="00DF5C5E"/>
    <w:rsid w:val="00E025C7"/>
    <w:rsid w:val="00E041DA"/>
    <w:rsid w:val="00E0629E"/>
    <w:rsid w:val="00E154DD"/>
    <w:rsid w:val="00E20BEF"/>
    <w:rsid w:val="00E764EB"/>
    <w:rsid w:val="00E809F1"/>
    <w:rsid w:val="00E863D3"/>
    <w:rsid w:val="00E93A7E"/>
    <w:rsid w:val="00EA03A9"/>
    <w:rsid w:val="00EB686B"/>
    <w:rsid w:val="00EC082E"/>
    <w:rsid w:val="00EC170C"/>
    <w:rsid w:val="00EC214C"/>
    <w:rsid w:val="00ED06DE"/>
    <w:rsid w:val="00EE1451"/>
    <w:rsid w:val="00EE4F96"/>
    <w:rsid w:val="00EF1CE9"/>
    <w:rsid w:val="00F17DB7"/>
    <w:rsid w:val="00F41C58"/>
    <w:rsid w:val="00F4680C"/>
    <w:rsid w:val="00F46EE8"/>
    <w:rsid w:val="00F51D4E"/>
    <w:rsid w:val="00F55CCF"/>
    <w:rsid w:val="00F63355"/>
    <w:rsid w:val="00F70CFA"/>
    <w:rsid w:val="00F82D5F"/>
    <w:rsid w:val="00F91F08"/>
    <w:rsid w:val="00FA5992"/>
    <w:rsid w:val="00FB7FE2"/>
    <w:rsid w:val="00FC49C8"/>
    <w:rsid w:val="00FC6903"/>
    <w:rsid w:val="00FC7385"/>
    <w:rsid w:val="00FD2506"/>
    <w:rsid w:val="00FE32D0"/>
    <w:rsid w:val="00FE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paragraph" w:styleId="Header">
    <w:name w:val="header"/>
    <w:basedOn w:val="Normal"/>
    <w:link w:val="HeaderChar"/>
    <w:rsid w:val="00F4680C"/>
    <w:pPr>
      <w:tabs>
        <w:tab w:val="center" w:pos="4680"/>
        <w:tab w:val="right" w:pos="9360"/>
      </w:tabs>
    </w:pPr>
  </w:style>
  <w:style w:type="character" w:customStyle="1" w:styleId="HeaderChar">
    <w:name w:val="Header Char"/>
    <w:link w:val="Header"/>
    <w:rsid w:val="00F4680C"/>
    <w:rPr>
      <w:rFonts w:ascii="Arial" w:hAnsi="Arial" w:cs="Arial"/>
      <w:color w:val="000000"/>
    </w:rPr>
  </w:style>
  <w:style w:type="paragraph" w:styleId="Footer">
    <w:name w:val="footer"/>
    <w:basedOn w:val="Normal"/>
    <w:link w:val="FooterChar"/>
    <w:rsid w:val="00F4680C"/>
    <w:pPr>
      <w:tabs>
        <w:tab w:val="center" w:pos="4680"/>
        <w:tab w:val="right" w:pos="9360"/>
      </w:tabs>
    </w:pPr>
  </w:style>
  <w:style w:type="character" w:customStyle="1" w:styleId="FooterChar">
    <w:name w:val="Footer Char"/>
    <w:link w:val="Footer"/>
    <w:rsid w:val="00F4680C"/>
    <w:rPr>
      <w:rFonts w:ascii="Arial" w:hAnsi="Arial" w:cs="Arial"/>
      <w:color w:val="000000"/>
    </w:rPr>
  </w:style>
  <w:style w:type="paragraph" w:customStyle="1" w:styleId="ColorfulList-Accent11">
    <w:name w:val="Colorful List - Accent 11"/>
    <w:basedOn w:val="Normal"/>
    <w:uiPriority w:val="34"/>
    <w:qFormat/>
    <w:rsid w:val="00774B08"/>
    <w:pPr>
      <w:ind w:left="720"/>
      <w:contextualSpacing/>
    </w:pPr>
    <w:rPr>
      <w:rFonts w:eastAsia="Batang"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paragraph" w:styleId="Header">
    <w:name w:val="header"/>
    <w:basedOn w:val="Normal"/>
    <w:link w:val="HeaderChar"/>
    <w:rsid w:val="00F4680C"/>
    <w:pPr>
      <w:tabs>
        <w:tab w:val="center" w:pos="4680"/>
        <w:tab w:val="right" w:pos="9360"/>
      </w:tabs>
    </w:pPr>
  </w:style>
  <w:style w:type="character" w:customStyle="1" w:styleId="HeaderChar">
    <w:name w:val="Header Char"/>
    <w:link w:val="Header"/>
    <w:rsid w:val="00F4680C"/>
    <w:rPr>
      <w:rFonts w:ascii="Arial" w:hAnsi="Arial" w:cs="Arial"/>
      <w:color w:val="000000"/>
    </w:rPr>
  </w:style>
  <w:style w:type="paragraph" w:styleId="Footer">
    <w:name w:val="footer"/>
    <w:basedOn w:val="Normal"/>
    <w:link w:val="FooterChar"/>
    <w:rsid w:val="00F4680C"/>
    <w:pPr>
      <w:tabs>
        <w:tab w:val="center" w:pos="4680"/>
        <w:tab w:val="right" w:pos="9360"/>
      </w:tabs>
    </w:pPr>
  </w:style>
  <w:style w:type="character" w:customStyle="1" w:styleId="FooterChar">
    <w:name w:val="Footer Char"/>
    <w:link w:val="Footer"/>
    <w:rsid w:val="00F4680C"/>
    <w:rPr>
      <w:rFonts w:ascii="Arial" w:hAnsi="Arial" w:cs="Arial"/>
      <w:color w:val="000000"/>
    </w:rPr>
  </w:style>
  <w:style w:type="paragraph" w:customStyle="1" w:styleId="ColorfulList-Accent11">
    <w:name w:val="Colorful List - Accent 11"/>
    <w:basedOn w:val="Normal"/>
    <w:uiPriority w:val="34"/>
    <w:qFormat/>
    <w:rsid w:val="00774B08"/>
    <w:pPr>
      <w:ind w:left="720"/>
      <w:contextualSpacing/>
    </w:pPr>
    <w:rPr>
      <w:rFonts w:eastAsia="Batang"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Advisory Neighborhood Commission 2C</vt:lpstr>
    </vt:vector>
  </TitlesOfParts>
  <Company>DC Government</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Neighborhood Commission 2C</dc:title>
  <dc:creator>John Tinpe</dc:creator>
  <cp:lastModifiedBy>Windows User</cp:lastModifiedBy>
  <cp:revision>2</cp:revision>
  <dcterms:created xsi:type="dcterms:W3CDTF">2017-11-20T17:38:00Z</dcterms:created>
  <dcterms:modified xsi:type="dcterms:W3CDTF">2017-11-20T17:38:00Z</dcterms:modified>
</cp:coreProperties>
</file>